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Работодателям Челябинской области</w:t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Главное управление по труду и занятости населения Че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лябинской области объявляет о проведении в 2025 году регионального этапа всероссийского конкурса профессионального мастерства «Лучший по профессии» в «Спецноминации для переобучившихся» (Второй старт)                   (далее – Конкурс) для переобучившихся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по программам переподготовки в целях получения новой рабочей профессии. Конкурс организован для повышения престижа рабочих профессий, а также содействия и популяризации программ по переобучению по востребованным на рынке труда профессиям и специальностям.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Конкурс проводится в два этапа: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региональный и федеральный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Требования к квалификации для участия в Конкурсе: наличие профессиональной переподготовки по рабочей профессии в рамках федерального проекта «Содействие занятости» национального проекта «Де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мография» или других программ дополнительного профессионального образования по рабочим профессиям. Опыт работы по полученной специальности не менее 1 года в организациях, осуществляющих свою деятельность по основному виду в соответствии со следующим ОКВЭД: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A. Сельское, лесное хозяйство, охота, рыболовство и рыбоводство.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B. Добыча полезных ископаемых.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C. Обрабатывающие производства.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D. Обеспечение электрической энергией, газом и паром;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кондиционирование воздуха.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E. Водоснабжение; водоотведение, организация сбора и утилизации отходов, деятельность по ликвидации загрязнений.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F. Строительство.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G. Торговля оптовая и розничная; ремонт автотранспортных средств и мотоциклов.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H. Транспортировка и хранение.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I. Деятельность гостиниц и предприятий общественного питания.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J. Деятельность в области информации и связи.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K. Деятельность финансовая и страховая.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L. Деятельность по операциям с недвижимым имуществом.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M. Деятельность профессиональная, научная и техническая.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N. Деятельность административная и сопутствующие дополнительные услуги.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O. Государственное управление и обеспечение военной безопасности; социальное обеспечение.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P. Образование.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Q. Деятельность в области здравоохранения и социальных услуг.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R. Деятельность в области культуры, спорта, организации досуга и развлечений.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Участие в региональном и федеральном этапах является бесплатным.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20"/>
        <w:jc w:val="both"/>
        <w:spacing w:after="0" w:line="240" w:lineRule="auto"/>
      </w:pPr>
      <w:r/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Конкурсные задания регионального этапа состоят из трех модулей.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Модуль 1. Презентация профессионального пути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tbl>
      <w:tblPr>
        <w:tblStyle w:val="712"/>
        <w:tblW w:w="0" w:type="auto"/>
        <w:tblLook w:val="04A0" w:firstRow="1" w:lastRow="0" w:firstColumn="1" w:lastColumn="0" w:noHBand="0" w:noVBand="1"/>
      </w:tblPr>
      <w:tblGrid>
        <w:gridCol w:w="2695"/>
        <w:gridCol w:w="2787"/>
        <w:gridCol w:w="2913"/>
        <w:gridCol w:w="1175"/>
      </w:tblGrid>
      <w:tr>
        <w:tblPrEx/>
        <w:trPr/>
        <w:tc>
          <w:tcPr>
            <w:tcW w:w="2802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Наименование модуля</w:t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Краткое описание</w:t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Механика выполнения</w:t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Кол-во баллов</w:t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2802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sz w:val="28"/>
                <w:szCs w:val="28"/>
              </w:rPr>
              <w:t xml:space="preserve">Презентация профессионального пути</w:t>
            </w:r>
            <w:r>
              <w:rPr>
                <w:rFonts w:ascii="TimesNewRomanPS-BoldMT" w:hAnsi="TimesNewRomanPS-BoldMT" w:cs="TimesNewRomanPS-BoldMT"/>
                <w:sz w:val="28"/>
                <w:szCs w:val="28"/>
              </w:rPr>
            </w:r>
            <w:r>
              <w:rPr>
                <w:rFonts w:ascii="TimesNewRomanPS-BoldMT" w:hAnsi="TimesNewRomanPS-BoldMT" w:cs="TimesNewRomanPS-BoldMT"/>
                <w:sz w:val="28"/>
                <w:szCs w:val="28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sz w:val="28"/>
                <w:szCs w:val="28"/>
              </w:rPr>
              <w:t xml:space="preserve">Презентация профессионального пути выполняется по 4 блокам:</w:t>
            </w:r>
            <w:r>
              <w:rPr>
                <w:rFonts w:ascii="TimesNewRomanPS-BoldMT" w:hAnsi="TimesNewRomanPS-BoldMT" w:cs="TimesNewRomanPS-BoldMT"/>
                <w:sz w:val="28"/>
                <w:szCs w:val="28"/>
              </w:rPr>
            </w:r>
            <w:r>
              <w:rPr>
                <w:rFonts w:ascii="TimesNewRomanPS-BoldMT" w:hAnsi="TimesNewRomanPS-BoldMT" w:cs="TimesNewRomanPS-BoldMT"/>
                <w:sz w:val="28"/>
                <w:szCs w:val="28"/>
              </w:rPr>
            </w:r>
          </w:p>
          <w:p>
            <w:pPr>
              <w:rPr>
                <w:rFonts w:ascii="TimesNewRomanPS-BoldMT" w:hAnsi="TimesNewRomanPS-BoldMT" w:cs="TimesNewRomanPS-BoldMT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sz w:val="28"/>
                <w:szCs w:val="28"/>
              </w:rPr>
              <w:t xml:space="preserve">Первый блок - «Как рискнул и сменил профессию»</w:t>
            </w:r>
            <w:r>
              <w:rPr>
                <w:rFonts w:ascii="TimesNewRomanPS-BoldMT" w:hAnsi="TimesNewRomanPS-BoldMT" w:cs="TimesNewRomanPS-BoldMT"/>
                <w:sz w:val="28"/>
                <w:szCs w:val="28"/>
              </w:rPr>
              <w:t xml:space="preserve">,</w:t>
            </w:r>
            <w:r>
              <w:rPr>
                <w:rFonts w:ascii="TimesNewRomanPS-BoldMT" w:hAnsi="TimesNewRomanPS-BoldMT" w:cs="TimesNewRomanPS-BoldMT"/>
                <w:sz w:val="28"/>
                <w:szCs w:val="28"/>
              </w:rPr>
            </w:r>
            <w:r>
              <w:rPr>
                <w:rFonts w:ascii="TimesNewRomanPS-BoldMT" w:hAnsi="TimesNewRomanPS-BoldMT" w:cs="TimesNewRomanPS-BoldMT"/>
                <w:sz w:val="28"/>
                <w:szCs w:val="28"/>
              </w:rPr>
            </w:r>
          </w:p>
          <w:p>
            <w:pPr>
              <w:rPr>
                <w:rFonts w:ascii="TimesNewRomanPS-BoldMT" w:hAnsi="TimesNewRomanPS-BoldMT" w:cs="TimesNewRomanPS-BoldMT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sz w:val="28"/>
                <w:szCs w:val="28"/>
              </w:rPr>
              <w:t xml:space="preserve">Второй блок - «Мой первый рабочий день в новой профессии»</w:t>
            </w:r>
            <w:r>
              <w:rPr>
                <w:rFonts w:ascii="TimesNewRomanPS-BoldMT" w:hAnsi="TimesNewRomanPS-BoldMT" w:cs="TimesNewRomanPS-BoldMT"/>
                <w:sz w:val="28"/>
                <w:szCs w:val="28"/>
              </w:rPr>
              <w:t xml:space="preserve">,</w:t>
            </w:r>
            <w:r>
              <w:rPr>
                <w:rFonts w:ascii="TimesNewRomanPS-BoldMT" w:hAnsi="TimesNewRomanPS-BoldMT" w:cs="TimesNewRomanPS-BoldMT"/>
                <w:sz w:val="28"/>
                <w:szCs w:val="28"/>
              </w:rPr>
            </w:r>
            <w:r>
              <w:rPr>
                <w:rFonts w:ascii="TimesNewRomanPS-BoldMT" w:hAnsi="TimesNewRomanPS-BoldMT" w:cs="TimesNewRomanPS-BoldMT"/>
                <w:sz w:val="28"/>
                <w:szCs w:val="28"/>
              </w:rPr>
            </w:r>
          </w:p>
          <w:p>
            <w:pPr>
              <w:rPr>
                <w:rFonts w:ascii="TimesNewRomanPS-BoldMT" w:hAnsi="TimesNewRomanPS-BoldMT" w:cs="TimesNewRomanPS-BoldMT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sz w:val="28"/>
                <w:szCs w:val="28"/>
              </w:rPr>
              <w:t xml:space="preserve">Третий блок- «Мои наставники»</w:t>
            </w:r>
            <w:r>
              <w:rPr>
                <w:rFonts w:ascii="TimesNewRomanPS-BoldMT" w:hAnsi="TimesNewRomanPS-BoldMT" w:cs="TimesNewRomanPS-BoldMT"/>
                <w:sz w:val="28"/>
                <w:szCs w:val="28"/>
              </w:rPr>
              <w:t xml:space="preserve">,</w:t>
            </w:r>
            <w:r>
              <w:rPr>
                <w:rFonts w:ascii="TimesNewRomanPS-BoldMT" w:hAnsi="TimesNewRomanPS-BoldMT" w:cs="TimesNewRomanPS-BoldMT"/>
                <w:sz w:val="28"/>
                <w:szCs w:val="28"/>
              </w:rPr>
            </w:r>
            <w:r>
              <w:rPr>
                <w:rFonts w:ascii="TimesNewRomanPS-BoldMT" w:hAnsi="TimesNewRomanPS-BoldMT" w:cs="TimesNewRomanPS-BoldMT"/>
                <w:sz w:val="28"/>
                <w:szCs w:val="28"/>
              </w:rPr>
            </w:r>
          </w:p>
          <w:p>
            <w:pPr>
              <w:rPr>
                <w:rFonts w:ascii="TimesNewRomanPS-BoldMT" w:hAnsi="TimesNewRomanPS-BoldMT" w:cs="TimesNewRomanPS-BoldMT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sz w:val="28"/>
                <w:szCs w:val="28"/>
              </w:rPr>
              <w:t xml:space="preserve">Четвертый блок - «Моя первая победа»</w:t>
            </w:r>
            <w:r>
              <w:rPr>
                <w:rFonts w:ascii="TimesNewRomanPS-BoldMT" w:hAnsi="TimesNewRomanPS-BoldMT" w:cs="TimesNewRomanPS-BoldMT"/>
                <w:sz w:val="28"/>
                <w:szCs w:val="28"/>
              </w:rPr>
            </w:r>
            <w:r>
              <w:rPr>
                <w:rFonts w:ascii="TimesNewRomanPS-BoldMT" w:hAnsi="TimesNewRomanPS-BoldMT" w:cs="TimesNewRomanPS-BoldMT"/>
                <w:sz w:val="28"/>
                <w:szCs w:val="28"/>
              </w:rPr>
            </w:r>
          </w:p>
          <w:p>
            <w:pPr>
              <w:rPr>
                <w:rFonts w:ascii="TimesNewRomanPS-BoldMT" w:hAnsi="TimesNewRomanPS-BoldMT" w:cs="TimesNewRomanPS-BoldMT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sz w:val="28"/>
                <w:szCs w:val="28"/>
              </w:rPr>
            </w:r>
            <w:r>
              <w:rPr>
                <w:rFonts w:ascii="TimesNewRomanPS-BoldMT" w:hAnsi="TimesNewRomanPS-BoldMT" w:cs="TimesNewRomanPS-BoldMT"/>
                <w:sz w:val="28"/>
                <w:szCs w:val="28"/>
              </w:rPr>
            </w:r>
            <w:r>
              <w:rPr>
                <w:rFonts w:ascii="TimesNewRomanPS-BoldMT" w:hAnsi="TimesNewRomanPS-BoldMT" w:cs="TimesNewRomanPS-BoldMT"/>
                <w:sz w:val="28"/>
                <w:szCs w:val="28"/>
              </w:rPr>
            </w:r>
          </w:p>
          <w:p>
            <w:pPr>
              <w:rPr>
                <w:rFonts w:ascii="TimesNewRomanPS-BoldMT" w:hAnsi="TimesNewRomanPS-BoldMT" w:cs="TimesNewRomanPS-BoldMT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sz w:val="28"/>
                <w:szCs w:val="28"/>
              </w:rPr>
              <w:t xml:space="preserve">Каждый этап представляет собой короткий рассказ о становлении в новой профессии.</w:t>
            </w:r>
            <w:r>
              <w:rPr>
                <w:rFonts w:ascii="TimesNewRomanPS-BoldMT" w:hAnsi="TimesNewRomanPS-BoldMT" w:cs="TimesNewRomanPS-BoldMT"/>
                <w:sz w:val="28"/>
                <w:szCs w:val="28"/>
              </w:rPr>
            </w:r>
            <w:r>
              <w:rPr>
                <w:rFonts w:ascii="TimesNewRomanPS-BoldMT" w:hAnsi="TimesNewRomanPS-BoldMT" w:cs="TimesNewRomanPS-BoldMT"/>
                <w:sz w:val="28"/>
                <w:szCs w:val="28"/>
              </w:rPr>
            </w:r>
          </w:p>
          <w:p>
            <w:pPr>
              <w:rPr>
                <w:rFonts w:ascii="TimesNewRomanPS-BoldMT" w:hAnsi="TimesNewRomanPS-BoldMT" w:cs="TimesNewRomanPS-BoldMT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sz w:val="28"/>
                <w:szCs w:val="28"/>
              </w:rPr>
            </w:r>
            <w:r>
              <w:rPr>
                <w:rFonts w:ascii="TimesNewRomanPS-BoldMT" w:hAnsi="TimesNewRomanPS-BoldMT" w:cs="TimesNewRomanPS-BoldMT"/>
                <w:sz w:val="28"/>
                <w:szCs w:val="28"/>
              </w:rPr>
            </w:r>
            <w:r>
              <w:rPr>
                <w:rFonts w:ascii="TimesNewRomanPS-BoldMT" w:hAnsi="TimesNewRomanPS-BoldMT" w:cs="TimesNewRomanPS-BoldMT"/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Рассказ о становлении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 профессии может быть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реализован в формате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выступления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 профессиональном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празднике, на встрече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новыми сотрудниками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предприятия,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профориентационной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встрече, в ходе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профориентационного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тура, на встрече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обучающимися по это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профессии или с теми, кто выбирает профессию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сейчас, а также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формате рассказа 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видео-обращения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 личной странице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социальных сетях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(разрешенных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Российской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Федерации).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Верификацией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проведения встречи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может быть пост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 личной странице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участника, на странице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предприятия или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организации, в том числе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 базе которой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проходила встреча, или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региональной службы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занятости,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публикация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СМИ (разрешенных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Российской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Федерации), в том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числе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– 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корпоративном СМИ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(разрешенных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Российской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Федерации).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sz w:val="28"/>
                <w:szCs w:val="28"/>
              </w:rPr>
              <w:t xml:space="preserve">До 200</w:t>
            </w:r>
            <w:r>
              <w:rPr>
                <w:rFonts w:ascii="TimesNewRomanPS-BoldMT" w:hAnsi="TimesNewRomanPS-BoldMT" w:cs="TimesNewRomanPS-BoldMT"/>
                <w:sz w:val="28"/>
                <w:szCs w:val="28"/>
              </w:rPr>
            </w:r>
            <w:r>
              <w:rPr>
                <w:rFonts w:ascii="TimesNewRomanPS-BoldMT" w:hAnsi="TimesNewRomanPS-BoldMT" w:cs="TimesNewRomanPS-BoldMT"/>
                <w:sz w:val="28"/>
                <w:szCs w:val="28"/>
              </w:rPr>
            </w:r>
          </w:p>
        </w:tc>
      </w:tr>
    </w:tbl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Модуль 1 выполняется конкурсантом в течение 12-ти календарных дней с даты начала регионального этапа.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Ссылки на материалы о проведенных мероприятиях загружаются на информационный ресурс в течение 5-ти рабочих дней со дня проведения соответствующего мероприятия, но не позднее срока окончания проведения Модуля 1.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После загрузки ссылок на информационный ресурс региональная экспертная комиссия оценивает и выставляет баллы в соответствии с прилагаемыми критериями, не позднее даты завершения регионального этапа.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Указанные сроки могут быть скорректированы в случае наличия особых обстоятельств.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b/>
          <w:bCs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Модуль 2. Теоретическая часть.</w:t>
      </w:r>
      <w:r>
        <w:rPr>
          <w:b/>
          <w:bCs/>
        </w:rPr>
      </w:r>
      <w:r>
        <w:rPr>
          <w:b/>
          <w:bCs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Теоретическая часть Конкурса включает в себя выполнение тестовых заданий (20 вопросов) по охране труда.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Тестирование проводится очно и одновременно со всеми конкурсантами.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Время для прохождения тестирования – не более 30 минут.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b/>
          <w:bCs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Модуль 3. Кейс-задание</w:t>
      </w:r>
      <w:r>
        <w:rPr>
          <w:b/>
          <w:bCs/>
        </w:rPr>
      </w:r>
      <w:r>
        <w:rPr>
          <w:b/>
          <w:bCs/>
        </w:rPr>
      </w:r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Мастер-класс «Я – Мастер».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Участник Конкурса записывает видео, в котором обучает одному из ключевых навыков своей профессии.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Видеоролик должен быть практико-ориентирован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ным, содержать пояснения выполняемых действий. Допускается запись видео частями. При отсутствии ограничений видео может быть записано с рабочего места. В видео допускается участие третьих лиц. Монтаж видео допускается, но не является обязательным условием.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Ссылка на видеоролик (размещенный на разрешенных в Российской Федерации информационных платформах) загружается конкурсантом на информационный ресурс не позднее 14 календарных дней до даты завершения регионального этапа.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Критерии оценивания конкурсных заданий регионального этапа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</w:pPr>
      <w:r/>
      <w:r/>
    </w:p>
    <w:tbl>
      <w:tblPr>
        <w:tblStyle w:val="712"/>
        <w:tblW w:w="0" w:type="auto"/>
        <w:tblLayout w:type="fixed"/>
        <w:tblLook w:val="04A0" w:firstRow="1" w:lastRow="0" w:firstColumn="1" w:lastColumn="0" w:noHBand="0" w:noVBand="1"/>
      </w:tblPr>
      <w:tblGrid>
        <w:gridCol w:w="816"/>
        <w:gridCol w:w="6520"/>
        <w:gridCol w:w="2233"/>
      </w:tblGrid>
      <w:tr>
        <w:tblPrEx/>
        <w:trPr/>
        <w:tc>
          <w:tcPr>
            <w:tcW w:w="8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652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Наименование задания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23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Диапазон баллов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8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652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МОДУЛЬ 1.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Презентация профессионального пути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223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До 200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(по 50 баллов за каждый блок)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8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1.1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652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Содержательно раскрыты темы презентации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23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До 20 баллов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(по каждому </w:t>
            </w:r>
            <w:bookmarkStart w:id="0" w:name="_GoBack"/>
            <w:r/>
            <w:bookmarkEnd w:id="0"/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блоку)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8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652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Есть фото-видео материалы презентации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23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До 10 баллов (по каждому блоку)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8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1.3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652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 рассказе раскрыты особенности новой профессии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23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До 10 баллов (по каждому блоку)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8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652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Презентация поддержана работодателем и размещена на корпоративной странице (сайте), на сайте профсоюза или на странице руководителя, наставника, коллеги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23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10 баллов (по каждому блоку)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8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652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МОДУЛЬ 2.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Теоретическая часть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223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До 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8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2.1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652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Тестовое задание (2 балла за каждый правильный ответ)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23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До 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8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652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Модуль 3. Кейс-задание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Мастер-класс «Я-Мастер»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223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До 260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8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3.1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652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Соответствие сюжета видеоролика заявленной теме задания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23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До 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8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3.2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652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Практическая значимость и применимость представленного материала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23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До 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8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3.3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6520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Логичность, структурированность представляемого</w:t>
            </w:r>
            <w:r/>
          </w:p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материала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23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До 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8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3.4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652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Материал укладывается в хронометраж менее 20 минут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23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До 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28"/>
        </w:trPr>
        <w:tc>
          <w:tcPr>
            <w:tcW w:w="8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3.5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652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Уровень профессиональных навыков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23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До 130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8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3.6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6520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Подтвержденный факт вовлечения работодателя в</w:t>
            </w:r>
            <w:r/>
          </w:p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подготовку ролика: подтвержденным фактом считается участие коллектива предприятия, съемки на рабочем месте, использование ролика в</w:t>
            </w:r>
            <w:r/>
          </w:p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качестве рекомендованного материала при подготовке и/или найме новых сотрудников, размещение ролика в социальных сетях (разрешенных в Российской Федерации) на странице предприятия, профсоюзной организации предприятия или на иных площадках</w:t>
            </w:r>
            <w:r/>
          </w:p>
        </w:tc>
        <w:tc>
          <w:tcPr>
            <w:tcW w:w="223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До 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8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3.7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6520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Видеоролик превышает 40 минут:</w:t>
            </w:r>
            <w:r/>
          </w:p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от 1 до 5 минут</w:t>
            </w:r>
            <w:r/>
          </w:p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от 6 до 10 минут</w:t>
            </w:r>
            <w:r/>
          </w:p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от 11 до 15 минут</w:t>
            </w:r>
            <w:r/>
          </w:p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от 16 и более минут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23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-5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-10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-25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-50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8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652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23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22"/>
        </w:trPr>
        <w:tc>
          <w:tcPr>
            <w:tcW w:w="81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652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              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223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До 500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Победители регионального этапа будут номинированы для участия на федеральном уровне.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/>
    </w:p>
    <w:p>
      <w:pPr>
        <w:ind w:firstLine="709"/>
        <w:jc w:val="both"/>
        <w:spacing w:after="0" w:line="240" w:lineRule="auto"/>
      </w:pPr>
      <w:r/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Федеральный этап Конкурса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Конкурсные задания федерального этапа состоят из трех модулей.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Модуль 1. Презентация новой профессии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tbl>
      <w:tblPr>
        <w:tblStyle w:val="712"/>
        <w:tblW w:w="0" w:type="auto"/>
        <w:tblLayout w:type="fixed"/>
        <w:tblLook w:val="04A0" w:firstRow="1" w:lastRow="0" w:firstColumn="1" w:lastColumn="0" w:noHBand="0" w:noVBand="1"/>
      </w:tblPr>
      <w:tblGrid>
        <w:gridCol w:w="2092"/>
        <w:gridCol w:w="2268"/>
        <w:gridCol w:w="3827"/>
        <w:gridCol w:w="1383"/>
      </w:tblGrid>
      <w:tr>
        <w:tblPrEx/>
        <w:trPr>
          <w:trHeight w:val="261"/>
        </w:trPr>
        <w:tc>
          <w:tcPr>
            <w:tcW w:w="209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Наименование модуля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Краткое описание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Механика выполнения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138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Количество баллов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09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Презентация новой профессии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Презентация новой профессии: «5 плюсов и возможностей моей новой работы»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Задача-раскрыть преимущества полученной рабочей профессии, ее специфику доступной для широкой аудитории форме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Презентация может быть</w:t>
            </w:r>
            <w:r/>
          </w:p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проведена в формате мастер-</w:t>
            </w:r>
            <w:r/>
          </w:p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класса, лекции, поста в</w:t>
            </w:r>
            <w:r/>
          </w:p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социальных сетях (разрешенных в Российской Федерации) или публикации материала для СМИ</w:t>
            </w:r>
            <w:r/>
          </w:p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(разрешенных в Российской</w:t>
            </w:r>
            <w:r/>
          </w:p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Федерации).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Верификацией проведения</w:t>
            </w:r>
            <w:r/>
          </w:p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встречи может быть пост на</w:t>
            </w:r>
            <w:r/>
          </w:p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личной странице участника, на странице предприятия или</w:t>
            </w:r>
            <w:r/>
          </w:p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организации, в том числе на базе которой проходила встреча, или региональной службы занятости, публикация в СМИ (разрешенных в Российской Федерации), в том числе – в корпоративном СМИ </w:t>
            </w:r>
            <w:r/>
          </w:p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(разрешенных в Российской</w:t>
            </w:r>
            <w:r/>
          </w:p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Федерации).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138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 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b/>
          <w:bCs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Модуль 2. Теоретическая часть.</w:t>
      </w:r>
      <w:r>
        <w:rPr>
          <w:b/>
          <w:bCs/>
        </w:rPr>
      </w:r>
      <w:r>
        <w:rPr>
          <w:b/>
          <w:bCs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Теоретическая часть Конкурса включает в себя выполнение тестовых заданий (20 тестовых вопросов) по охране труда и трудовым правам работников.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Кейс-задание Видео-визитка «Знакомство с профессией».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Видео-визитка «Знакомство с профессией»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Предполагает подготовку регионом, направляю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щим финалиста на федеральный этап, видеоролика, демонстрирующего профессиональные качества, навыки и умения участника Конкурса, с возможностью визуальной демонстрации профессиональных достижений на рабочем месте, особенностей и преимуществ новой профессии.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Органы службы занятости населения субъекта Российской Федерации оказывают содействие при подготовке видеоролика конкурсанта – победителя регионального этапа.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Видеоролик должен быть ясным, кратким, с использованием конкретных примеров и подробным описанием достижений по вновь полученной рабочей профессии.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Структура видеоролика: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Краткая информация о себе.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История карьерной траектории (трудовой путь).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Мотивы выбора новой рабочей профессии.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 Преимущества новой профессии.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Продолжительность видеоролика – не более 15 минут.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Ссылка на видеоролик (размещенный на разрешенных в Российской Федерации информационных платформах) конкурсантом загружается на информационный ресурс в период с 18.08.2025 по 08.09.2025.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Федеральная экспертная комиссия в данном модуле может дополнительно привлекать экспертов – представителей сферы деятельности конкурсанта – для оценки его профессиональных знаний и навыков, демонстрируемых в видеоролике.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срок до 12.09.2025 федеральная экс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пертная комиссия проводит оценку соответствия сюжета видеоролика конкурсанта заявленной теме задания и формирует заключение о соблюдении базовых профессиональных требований, требований охраны труда и иных обязательных требований в зависимости от профессии.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период с 16.09.2025 (начало голосования в 00:01 по мск) по 30.09.2025 (завершен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ие голосования в 20:00 по мск) на общедоступном информационном ресурсе будет обеспечено «народное голосование» за видеоролики конкурсантов федерального этапа и по итогам голосования начислены баллы в зависимости от процента проголосовавших за каждый ролик: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50 баллов – от 1,0% до 5,0% от всех голосов,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75 баллов – от 5,1% до 7,0% голосов,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100 баллов – участнику, находящемуся на третьем месте по количеству голосов;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150 баллов – участнику, находящемуся на втором месте по количеству голосов;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200 баллов – участнику, набравшему наибольшее количество голосов.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случае если доля голосов за участника, находящегося на первом, втором и/или третьем месте по количеству голосов, составляет менее 7,0%, участнику начисляется 200, 150 или 100 баллов соответственно.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Указанные сроки могут быть скорректированы в случае наличия особых обстоятельств.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Модуль 3. «Урок профессий» (практическое задание)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tbl>
      <w:tblPr>
        <w:tblStyle w:val="712"/>
        <w:tblW w:w="0" w:type="auto"/>
        <w:tblLayout w:type="fixed"/>
        <w:tblLook w:val="04A0" w:firstRow="1" w:lastRow="0" w:firstColumn="1" w:lastColumn="0" w:noHBand="0" w:noVBand="1"/>
      </w:tblPr>
      <w:tblGrid>
        <w:gridCol w:w="2392"/>
        <w:gridCol w:w="2109"/>
        <w:gridCol w:w="3402"/>
        <w:gridCol w:w="1666"/>
      </w:tblGrid>
      <w:tr>
        <w:tblPrEx/>
        <w:trPr/>
        <w:tc>
          <w:tcPr>
            <w:tcW w:w="239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модуля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1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Время прохождения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Краткое описание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16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Количество баллов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39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Урок профессии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1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 проведение урока- не более 10-ти минут, на вопросы экспертов или участников урока профессий –не более 5-ти минут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Формируются группы из</w:t>
            </w:r>
            <w:r/>
          </w:p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участников Конкурса по</w:t>
            </w:r>
            <w:r/>
          </w:p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5-10 человек по различным</w:t>
            </w:r>
            <w:r/>
          </w:p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профессиям (группы</w:t>
            </w:r>
            <w:r/>
          </w:p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определяются</w:t>
            </w:r>
            <w:r/>
          </w:p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непосредственно перед</w:t>
            </w:r>
            <w:r/>
          </w:p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федеральным этапом на</w:t>
            </w:r>
            <w:r/>
          </w:p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основании списка победителей</w:t>
            </w:r>
            <w:r/>
          </w:p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региональных этапов).</w:t>
            </w:r>
            <w:r/>
          </w:p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Группы выступают перед</w:t>
            </w:r>
            <w:r/>
          </w:p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школьниками 9 – 11 классов</w:t>
            </w:r>
            <w:r/>
          </w:p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(будет предусмотрена онлайн</w:t>
            </w:r>
            <w:r/>
          </w:p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трансляция и возможность</w:t>
            </w:r>
            <w:r/>
          </w:p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выставления баллов</w:t>
            </w:r>
            <w:r/>
          </w:p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дистанционно) и</w:t>
            </w:r>
            <w:r/>
          </w:p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представителями федеральной</w:t>
            </w:r>
            <w:r/>
          </w:p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экспертной комиссии.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16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 200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Урок профессий проводится с целью популяризации рабочих профессий среди школьников, стоящих перед выбором своей будущей профессии.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Данное мероприятие будет способствовать знакомству с тонкостями и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содержанием практического пр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именения полученных профессиональных знаний, что повысит уровень практико-ориентированности проводимого урока и заинтересованности школьников в выборе рабочей профессии с целью обеспеченности высокой кадровой потребности работодателей Российской Федерации.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Прием заявок на участие в региональном этапе Конкурса осуществляется до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15 июня 2025 года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По вопросам проведения Конкурса обращаться в Главное управление по труду и занятости населения Челябинской области (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г. Челябинск, ул. Комсомольская, 18 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), отдел регулирования трудовых отношений и развития социального партнерства,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кабинет 102, контактные лица Афиногенова Ирина Аркадьевна, Замятина Ольга Маратовна телефон: (351) 237-08-92,  е-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mail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: </w:t>
      </w:r>
      <w:hyperlink r:id="rId9" w:tooltip="http://Afinogenova_IA@szn74.ru" w:history="1">
        <w:r>
          <w:rPr>
            <w:rStyle w:val="855"/>
            <w:rFonts w:ascii="Times New Roman" w:hAnsi="Times New Roman" w:eastAsia="Times New Roman" w:cs="Times New Roman"/>
            <w:b/>
            <w:sz w:val="28"/>
            <w:szCs w:val="28"/>
            <w:lang w:eastAsia="ru-RU"/>
          </w:rPr>
          <w:t xml:space="preserve">Afinogenova_IA@szn74.ru</w:t>
        </w:r>
      </w:hyperlink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, </w:t>
      </w:r>
      <w:hyperlink r:id="rId10" w:tooltip="mailto:Zamyatina_OM@szn74.ru." w:history="1">
        <w:r>
          <w:rPr>
            <w:rStyle w:val="855"/>
            <w:rFonts w:ascii="Times New Roman" w:hAnsi="Times New Roman" w:eastAsia="Times New Roman" w:cs="Times New Roman"/>
            <w:b/>
            <w:sz w:val="28"/>
            <w:szCs w:val="28"/>
            <w:lang w:eastAsia="ru-RU"/>
          </w:rPr>
          <w:t xml:space="preserve">Zamyatina_OM@szn74.ru.</w:t>
        </w:r>
      </w:hyperlink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Инструкция участника по подаче заявки на Всероссийский конкурс профессионального мастерства «Лучший по профессии» (ссылка);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Методические рекомендации по организации и проведению конкурса профессионального мастерства «Лучший по профессии» (ссылка) , размещены на официальном сайте сайте Главного управления по труду и занятости населения Челябинской области: szn.gov74.ru.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Полная информация о проведении Конкурса размещена на официальном сайте Главного управления (www.szn.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gov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74.ru) в разделе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Дополнительно / Социальное партнёрство / Конкурсы / Региональный этап всероссийского конкурса в «Спецноминации для переобучившихся» (Второй старт) / 2025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tabs>
          <w:tab w:val="left" w:pos="228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sectPr>
      <w:footnotePr/>
      <w:endnotePr/>
      <w:type w:val="nextPage"/>
      <w:pgSz w:w="11906" w:h="16838" w:orient="portrait"/>
      <w:pgMar w:top="568" w:right="851" w:bottom="568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-BoldMT">
    <w:panose1 w:val="02020603050405020304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 w:default="1">
    <w:name w:val="Normal"/>
    <w:qFormat/>
  </w:style>
  <w:style w:type="paragraph" w:styleId="657">
    <w:name w:val="Heading 1"/>
    <w:basedOn w:val="656"/>
    <w:next w:val="656"/>
    <w:link w:val="68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8">
    <w:name w:val="Heading 2"/>
    <w:basedOn w:val="656"/>
    <w:next w:val="656"/>
    <w:link w:val="68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9">
    <w:name w:val="Heading 3"/>
    <w:basedOn w:val="656"/>
    <w:next w:val="656"/>
    <w:link w:val="68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60">
    <w:name w:val="Heading 4"/>
    <w:basedOn w:val="656"/>
    <w:next w:val="656"/>
    <w:link w:val="69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1">
    <w:name w:val="Heading 5"/>
    <w:basedOn w:val="656"/>
    <w:next w:val="656"/>
    <w:link w:val="69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2">
    <w:name w:val="Heading 6"/>
    <w:basedOn w:val="656"/>
    <w:next w:val="656"/>
    <w:link w:val="69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63">
    <w:name w:val="Heading 7"/>
    <w:basedOn w:val="656"/>
    <w:next w:val="656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64">
    <w:name w:val="Heading 8"/>
    <w:basedOn w:val="656"/>
    <w:next w:val="656"/>
    <w:link w:val="69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65">
    <w:name w:val="Heading 9"/>
    <w:basedOn w:val="656"/>
    <w:next w:val="656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6" w:default="1">
    <w:name w:val="Default Paragraph Font"/>
    <w:uiPriority w:val="1"/>
    <w:semiHidden/>
    <w:unhideWhenUsed/>
  </w:style>
  <w:style w:type="table" w:styleId="66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8" w:default="1">
    <w:name w:val="No List"/>
    <w:uiPriority w:val="99"/>
    <w:semiHidden/>
    <w:unhideWhenUsed/>
  </w:style>
  <w:style w:type="character" w:styleId="669" w:customStyle="1">
    <w:name w:val="Heading 1 Char"/>
    <w:basedOn w:val="666"/>
    <w:uiPriority w:val="9"/>
    <w:rPr>
      <w:rFonts w:ascii="Arial" w:hAnsi="Arial" w:eastAsia="Arial" w:cs="Arial"/>
      <w:sz w:val="40"/>
      <w:szCs w:val="40"/>
    </w:rPr>
  </w:style>
  <w:style w:type="character" w:styleId="670" w:customStyle="1">
    <w:name w:val="Heading 2 Char"/>
    <w:basedOn w:val="666"/>
    <w:uiPriority w:val="9"/>
    <w:rPr>
      <w:rFonts w:ascii="Arial" w:hAnsi="Arial" w:eastAsia="Arial" w:cs="Arial"/>
      <w:sz w:val="34"/>
    </w:rPr>
  </w:style>
  <w:style w:type="character" w:styleId="671" w:customStyle="1">
    <w:name w:val="Heading 3 Char"/>
    <w:basedOn w:val="666"/>
    <w:uiPriority w:val="9"/>
    <w:rPr>
      <w:rFonts w:ascii="Arial" w:hAnsi="Arial" w:eastAsia="Arial" w:cs="Arial"/>
      <w:sz w:val="30"/>
      <w:szCs w:val="30"/>
    </w:rPr>
  </w:style>
  <w:style w:type="character" w:styleId="672" w:customStyle="1">
    <w:name w:val="Heading 4 Char"/>
    <w:basedOn w:val="666"/>
    <w:uiPriority w:val="9"/>
    <w:rPr>
      <w:rFonts w:ascii="Arial" w:hAnsi="Arial" w:eastAsia="Arial" w:cs="Arial"/>
      <w:b/>
      <w:bCs/>
      <w:sz w:val="26"/>
      <w:szCs w:val="26"/>
    </w:rPr>
  </w:style>
  <w:style w:type="character" w:styleId="673" w:customStyle="1">
    <w:name w:val="Heading 5 Char"/>
    <w:basedOn w:val="666"/>
    <w:uiPriority w:val="9"/>
    <w:rPr>
      <w:rFonts w:ascii="Arial" w:hAnsi="Arial" w:eastAsia="Arial" w:cs="Arial"/>
      <w:b/>
      <w:bCs/>
      <w:sz w:val="24"/>
      <w:szCs w:val="24"/>
    </w:rPr>
  </w:style>
  <w:style w:type="character" w:styleId="674" w:customStyle="1">
    <w:name w:val="Heading 6 Char"/>
    <w:basedOn w:val="666"/>
    <w:uiPriority w:val="9"/>
    <w:rPr>
      <w:rFonts w:ascii="Arial" w:hAnsi="Arial" w:eastAsia="Arial" w:cs="Arial"/>
      <w:b/>
      <w:bCs/>
      <w:sz w:val="22"/>
      <w:szCs w:val="22"/>
    </w:rPr>
  </w:style>
  <w:style w:type="character" w:styleId="675" w:customStyle="1">
    <w:name w:val="Heading 7 Char"/>
    <w:basedOn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6" w:customStyle="1">
    <w:name w:val="Heading 8 Char"/>
    <w:basedOn w:val="666"/>
    <w:uiPriority w:val="9"/>
    <w:rPr>
      <w:rFonts w:ascii="Arial" w:hAnsi="Arial" w:eastAsia="Arial" w:cs="Arial"/>
      <w:i/>
      <w:iCs/>
      <w:sz w:val="22"/>
      <w:szCs w:val="22"/>
    </w:rPr>
  </w:style>
  <w:style w:type="character" w:styleId="677" w:customStyle="1">
    <w:name w:val="Heading 9 Char"/>
    <w:basedOn w:val="666"/>
    <w:uiPriority w:val="9"/>
    <w:rPr>
      <w:rFonts w:ascii="Arial" w:hAnsi="Arial" w:eastAsia="Arial" w:cs="Arial"/>
      <w:i/>
      <w:iCs/>
      <w:sz w:val="21"/>
      <w:szCs w:val="21"/>
    </w:rPr>
  </w:style>
  <w:style w:type="character" w:styleId="678" w:customStyle="1">
    <w:name w:val="Title Char"/>
    <w:basedOn w:val="666"/>
    <w:uiPriority w:val="10"/>
    <w:rPr>
      <w:sz w:val="48"/>
      <w:szCs w:val="48"/>
    </w:rPr>
  </w:style>
  <w:style w:type="character" w:styleId="679" w:customStyle="1">
    <w:name w:val="Subtitle Char"/>
    <w:basedOn w:val="666"/>
    <w:uiPriority w:val="11"/>
    <w:rPr>
      <w:sz w:val="24"/>
      <w:szCs w:val="24"/>
    </w:rPr>
  </w:style>
  <w:style w:type="character" w:styleId="680" w:customStyle="1">
    <w:name w:val="Quote Char"/>
    <w:uiPriority w:val="29"/>
    <w:rPr>
      <w:i/>
    </w:rPr>
  </w:style>
  <w:style w:type="character" w:styleId="681" w:customStyle="1">
    <w:name w:val="Intense Quote Char"/>
    <w:uiPriority w:val="30"/>
    <w:rPr>
      <w:i/>
    </w:rPr>
  </w:style>
  <w:style w:type="character" w:styleId="682" w:customStyle="1">
    <w:name w:val="Header Char"/>
    <w:basedOn w:val="666"/>
    <w:uiPriority w:val="99"/>
  </w:style>
  <w:style w:type="character" w:styleId="683" w:customStyle="1">
    <w:name w:val="Footer Char"/>
    <w:basedOn w:val="666"/>
    <w:uiPriority w:val="99"/>
  </w:style>
  <w:style w:type="character" w:styleId="684" w:customStyle="1">
    <w:name w:val="Caption Char"/>
    <w:basedOn w:val="666"/>
    <w:uiPriority w:val="35"/>
    <w:rPr>
      <w:b/>
      <w:bCs/>
      <w:color w:val="5b9bd5" w:themeColor="accent1"/>
      <w:sz w:val="18"/>
      <w:szCs w:val="18"/>
    </w:rPr>
  </w:style>
  <w:style w:type="character" w:styleId="685" w:customStyle="1">
    <w:name w:val="Footnote Text Char"/>
    <w:uiPriority w:val="99"/>
    <w:rPr>
      <w:sz w:val="18"/>
    </w:rPr>
  </w:style>
  <w:style w:type="character" w:styleId="686" w:customStyle="1">
    <w:name w:val="Endnote Text Char"/>
    <w:uiPriority w:val="99"/>
    <w:rPr>
      <w:sz w:val="20"/>
    </w:rPr>
  </w:style>
  <w:style w:type="character" w:styleId="687" w:customStyle="1">
    <w:name w:val="Заголовок 1 Знак"/>
    <w:basedOn w:val="666"/>
    <w:link w:val="657"/>
    <w:uiPriority w:val="9"/>
    <w:rPr>
      <w:rFonts w:ascii="Arial" w:hAnsi="Arial" w:eastAsia="Arial" w:cs="Arial"/>
      <w:sz w:val="40"/>
      <w:szCs w:val="40"/>
    </w:rPr>
  </w:style>
  <w:style w:type="character" w:styleId="688" w:customStyle="1">
    <w:name w:val="Заголовок 2 Знак"/>
    <w:basedOn w:val="666"/>
    <w:link w:val="658"/>
    <w:uiPriority w:val="9"/>
    <w:rPr>
      <w:rFonts w:ascii="Arial" w:hAnsi="Arial" w:eastAsia="Arial" w:cs="Arial"/>
      <w:sz w:val="34"/>
    </w:rPr>
  </w:style>
  <w:style w:type="character" w:styleId="689" w:customStyle="1">
    <w:name w:val="Заголовок 3 Знак"/>
    <w:basedOn w:val="666"/>
    <w:link w:val="659"/>
    <w:uiPriority w:val="9"/>
    <w:rPr>
      <w:rFonts w:ascii="Arial" w:hAnsi="Arial" w:eastAsia="Arial" w:cs="Arial"/>
      <w:sz w:val="30"/>
      <w:szCs w:val="30"/>
    </w:rPr>
  </w:style>
  <w:style w:type="character" w:styleId="690" w:customStyle="1">
    <w:name w:val="Заголовок 4 Знак"/>
    <w:basedOn w:val="666"/>
    <w:link w:val="660"/>
    <w:uiPriority w:val="9"/>
    <w:rPr>
      <w:rFonts w:ascii="Arial" w:hAnsi="Arial" w:eastAsia="Arial" w:cs="Arial"/>
      <w:b/>
      <w:bCs/>
      <w:sz w:val="26"/>
      <w:szCs w:val="26"/>
    </w:rPr>
  </w:style>
  <w:style w:type="character" w:styleId="691" w:customStyle="1">
    <w:name w:val="Заголовок 5 Знак"/>
    <w:basedOn w:val="666"/>
    <w:link w:val="661"/>
    <w:uiPriority w:val="9"/>
    <w:rPr>
      <w:rFonts w:ascii="Arial" w:hAnsi="Arial" w:eastAsia="Arial" w:cs="Arial"/>
      <w:b/>
      <w:bCs/>
      <w:sz w:val="24"/>
      <w:szCs w:val="24"/>
    </w:rPr>
  </w:style>
  <w:style w:type="character" w:styleId="692" w:customStyle="1">
    <w:name w:val="Заголовок 6 Знак"/>
    <w:basedOn w:val="666"/>
    <w:link w:val="662"/>
    <w:uiPriority w:val="9"/>
    <w:rPr>
      <w:rFonts w:ascii="Arial" w:hAnsi="Arial" w:eastAsia="Arial" w:cs="Arial"/>
      <w:b/>
      <w:bCs/>
      <w:sz w:val="22"/>
      <w:szCs w:val="22"/>
    </w:rPr>
  </w:style>
  <w:style w:type="character" w:styleId="693" w:customStyle="1">
    <w:name w:val="Заголовок 7 Знак"/>
    <w:basedOn w:val="666"/>
    <w:link w:val="66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4" w:customStyle="1">
    <w:name w:val="Заголовок 8 Знак"/>
    <w:basedOn w:val="666"/>
    <w:link w:val="664"/>
    <w:uiPriority w:val="9"/>
    <w:rPr>
      <w:rFonts w:ascii="Arial" w:hAnsi="Arial" w:eastAsia="Arial" w:cs="Arial"/>
      <w:i/>
      <w:iCs/>
      <w:sz w:val="22"/>
      <w:szCs w:val="22"/>
    </w:rPr>
  </w:style>
  <w:style w:type="character" w:styleId="695" w:customStyle="1">
    <w:name w:val="Заголовок 9 Знак"/>
    <w:basedOn w:val="666"/>
    <w:link w:val="665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List Paragraph"/>
    <w:basedOn w:val="656"/>
    <w:uiPriority w:val="34"/>
    <w:qFormat/>
    <w:pPr>
      <w:contextualSpacing/>
      <w:ind w:left="720"/>
    </w:pPr>
  </w:style>
  <w:style w:type="paragraph" w:styleId="697">
    <w:name w:val="No Spacing"/>
    <w:uiPriority w:val="1"/>
    <w:qFormat/>
    <w:pPr>
      <w:spacing w:after="0" w:line="240" w:lineRule="auto"/>
    </w:pPr>
  </w:style>
  <w:style w:type="paragraph" w:styleId="698">
    <w:name w:val="Title"/>
    <w:basedOn w:val="656"/>
    <w:next w:val="656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 w:customStyle="1">
    <w:name w:val="Название Знак"/>
    <w:basedOn w:val="666"/>
    <w:link w:val="698"/>
    <w:uiPriority w:val="10"/>
    <w:rPr>
      <w:sz w:val="48"/>
      <w:szCs w:val="48"/>
    </w:rPr>
  </w:style>
  <w:style w:type="paragraph" w:styleId="700">
    <w:name w:val="Subtitle"/>
    <w:basedOn w:val="656"/>
    <w:next w:val="656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 w:customStyle="1">
    <w:name w:val="Подзаголовок Знак"/>
    <w:basedOn w:val="666"/>
    <w:link w:val="700"/>
    <w:uiPriority w:val="11"/>
    <w:rPr>
      <w:sz w:val="24"/>
      <w:szCs w:val="24"/>
    </w:rPr>
  </w:style>
  <w:style w:type="paragraph" w:styleId="702">
    <w:name w:val="Quote"/>
    <w:basedOn w:val="656"/>
    <w:next w:val="656"/>
    <w:link w:val="703"/>
    <w:uiPriority w:val="29"/>
    <w:qFormat/>
    <w:pPr>
      <w:ind w:left="720" w:right="720"/>
    </w:pPr>
    <w:rPr>
      <w:i/>
    </w:rPr>
  </w:style>
  <w:style w:type="character" w:styleId="703" w:customStyle="1">
    <w:name w:val="Цитата 2 Знак"/>
    <w:link w:val="702"/>
    <w:uiPriority w:val="29"/>
    <w:rPr>
      <w:i/>
    </w:rPr>
  </w:style>
  <w:style w:type="paragraph" w:styleId="704">
    <w:name w:val="Intense Quote"/>
    <w:basedOn w:val="656"/>
    <w:next w:val="656"/>
    <w:link w:val="70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 w:customStyle="1">
    <w:name w:val="Выделенная цитата Знак"/>
    <w:link w:val="704"/>
    <w:uiPriority w:val="30"/>
    <w:rPr>
      <w:i/>
    </w:rPr>
  </w:style>
  <w:style w:type="paragraph" w:styleId="706">
    <w:name w:val="Header"/>
    <w:basedOn w:val="656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 w:customStyle="1">
    <w:name w:val="Верхний колонтитул Знак"/>
    <w:basedOn w:val="666"/>
    <w:link w:val="706"/>
    <w:uiPriority w:val="99"/>
  </w:style>
  <w:style w:type="paragraph" w:styleId="708">
    <w:name w:val="Footer"/>
    <w:basedOn w:val="656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 w:customStyle="1">
    <w:name w:val="Нижний колонтитул Знак"/>
    <w:basedOn w:val="666"/>
    <w:link w:val="708"/>
    <w:uiPriority w:val="99"/>
  </w:style>
  <w:style w:type="paragraph" w:styleId="710">
    <w:name w:val="Caption"/>
    <w:basedOn w:val="656"/>
    <w:next w:val="656"/>
    <w:link w:val="711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11" w:customStyle="1">
    <w:name w:val="Название объекта Знак"/>
    <w:basedOn w:val="666"/>
    <w:link w:val="710"/>
    <w:uiPriority w:val="35"/>
    <w:rPr>
      <w:b/>
      <w:bCs/>
      <w:color w:val="5b9bd5" w:themeColor="accent1"/>
      <w:sz w:val="18"/>
      <w:szCs w:val="18"/>
    </w:rPr>
  </w:style>
  <w:style w:type="table" w:styleId="712">
    <w:name w:val="Table Grid"/>
    <w:basedOn w:val="66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 w:customStyle="1">
    <w:name w:val="Table Grid Light"/>
    <w:basedOn w:val="667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basedOn w:val="667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2"/>
    <w:basedOn w:val="66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 w:customStyle="1">
    <w:name w:val="Grid Table 4 - Accent 1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42" w:customStyle="1">
    <w:name w:val="Grid Table 4 - Accent 2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3" w:customStyle="1">
    <w:name w:val="Grid Table 4 - Accent 3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4" w:customStyle="1">
    <w:name w:val="Grid Table 4 - Accent 4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5" w:customStyle="1">
    <w:name w:val="Grid Table 4 - Accent 5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6" w:customStyle="1">
    <w:name w:val="Grid Table 4 - Accent 6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7">
    <w:name w:val="Grid Table 5 Dark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4">
    <w:name w:val="Grid Table 6 Colorful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5" w:customStyle="1">
    <w:name w:val="Grid Table 6 Colorful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6" w:customStyle="1">
    <w:name w:val="Grid Table 6 Colorful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7" w:customStyle="1">
    <w:name w:val="Grid Table 6 Colorful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8" w:customStyle="1">
    <w:name w:val="Grid Table 6 Colorful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9" w:customStyle="1">
    <w:name w:val="Grid Table 6 Colorful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0" w:customStyle="1">
    <w:name w:val="Grid Table 6 Colorful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1">
    <w:name w:val="Grid Table 7 Colorful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7 Colorful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7 Colorful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7 Colorful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7 Colorful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>
    <w:name w:val="List Table 6 Colorful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4" w:customStyle="1">
    <w:name w:val="List Table 6 Colorful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5" w:customStyle="1">
    <w:name w:val="List Table 6 Colorful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6" w:customStyle="1">
    <w:name w:val="List Table 6 Colorful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7" w:customStyle="1">
    <w:name w:val="List Table 6 Colorful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8" w:customStyle="1">
    <w:name w:val="List Table 6 Colorful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09" w:customStyle="1">
    <w:name w:val="List Table 6 Colorful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10">
    <w:name w:val="List Table 7 Colorful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7 Colorful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7 Colorful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7 Colorful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7 Colorful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ned - Accent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8" w:customStyle="1">
    <w:name w:val="Lined - Accent 1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19" w:customStyle="1">
    <w:name w:val="Lined - Accent 2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0" w:customStyle="1">
    <w:name w:val="Lined - Accent 3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1" w:customStyle="1">
    <w:name w:val="Lined - Accent 4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2" w:customStyle="1">
    <w:name w:val="Lined - Accent 5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3" w:customStyle="1">
    <w:name w:val="Lined - Accent 6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4" w:customStyle="1">
    <w:name w:val="Bordered &amp; Lined - Accent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5" w:customStyle="1">
    <w:name w:val="Bordered &amp; Lined - Accent 1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6" w:customStyle="1">
    <w:name w:val="Bordered &amp; Lined - Accent 2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7" w:customStyle="1">
    <w:name w:val="Bordered &amp; Lined - Accent 3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8" w:customStyle="1">
    <w:name w:val="Bordered &amp; Lined - Accent 4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9" w:customStyle="1">
    <w:name w:val="Bordered &amp; Lined - Accent 5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0" w:customStyle="1">
    <w:name w:val="Bordered &amp; Lined - Accent 6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1" w:customStyle="1">
    <w:name w:val="Bordered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2" w:customStyle="1">
    <w:name w:val="Bordered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3" w:customStyle="1">
    <w:name w:val="Bordered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4" w:customStyle="1">
    <w:name w:val="Bordered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5" w:customStyle="1">
    <w:name w:val="Bordered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6" w:customStyle="1">
    <w:name w:val="Bordered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7" w:customStyle="1">
    <w:name w:val="Bordered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38">
    <w:name w:val="footnote text"/>
    <w:basedOn w:val="656"/>
    <w:link w:val="839"/>
    <w:uiPriority w:val="99"/>
    <w:semiHidden/>
    <w:unhideWhenUsed/>
    <w:pPr>
      <w:spacing w:after="40" w:line="240" w:lineRule="auto"/>
    </w:pPr>
    <w:rPr>
      <w:sz w:val="18"/>
    </w:rPr>
  </w:style>
  <w:style w:type="character" w:styleId="839" w:customStyle="1">
    <w:name w:val="Текст сноски Знак"/>
    <w:link w:val="838"/>
    <w:uiPriority w:val="99"/>
    <w:rPr>
      <w:sz w:val="18"/>
    </w:rPr>
  </w:style>
  <w:style w:type="character" w:styleId="840">
    <w:name w:val="footnote reference"/>
    <w:basedOn w:val="666"/>
    <w:uiPriority w:val="99"/>
    <w:unhideWhenUsed/>
    <w:rPr>
      <w:vertAlign w:val="superscript"/>
    </w:rPr>
  </w:style>
  <w:style w:type="paragraph" w:styleId="841">
    <w:name w:val="endnote text"/>
    <w:basedOn w:val="656"/>
    <w:link w:val="842"/>
    <w:uiPriority w:val="99"/>
    <w:semiHidden/>
    <w:unhideWhenUsed/>
    <w:pPr>
      <w:spacing w:after="0" w:line="240" w:lineRule="auto"/>
    </w:pPr>
    <w:rPr>
      <w:sz w:val="20"/>
    </w:rPr>
  </w:style>
  <w:style w:type="character" w:styleId="842" w:customStyle="1">
    <w:name w:val="Текст концевой сноски Знак"/>
    <w:link w:val="841"/>
    <w:uiPriority w:val="99"/>
    <w:rPr>
      <w:sz w:val="20"/>
    </w:rPr>
  </w:style>
  <w:style w:type="character" w:styleId="843">
    <w:name w:val="endnote reference"/>
    <w:basedOn w:val="666"/>
    <w:uiPriority w:val="99"/>
    <w:semiHidden/>
    <w:unhideWhenUsed/>
    <w:rPr>
      <w:vertAlign w:val="superscript"/>
    </w:rPr>
  </w:style>
  <w:style w:type="paragraph" w:styleId="844">
    <w:name w:val="toc 1"/>
    <w:basedOn w:val="656"/>
    <w:next w:val="656"/>
    <w:uiPriority w:val="39"/>
    <w:unhideWhenUsed/>
    <w:pPr>
      <w:spacing w:after="57"/>
    </w:pPr>
  </w:style>
  <w:style w:type="paragraph" w:styleId="845">
    <w:name w:val="toc 2"/>
    <w:basedOn w:val="656"/>
    <w:next w:val="656"/>
    <w:uiPriority w:val="39"/>
    <w:unhideWhenUsed/>
    <w:pPr>
      <w:ind w:left="283"/>
      <w:spacing w:after="57"/>
    </w:pPr>
  </w:style>
  <w:style w:type="paragraph" w:styleId="846">
    <w:name w:val="toc 3"/>
    <w:basedOn w:val="656"/>
    <w:next w:val="656"/>
    <w:uiPriority w:val="39"/>
    <w:unhideWhenUsed/>
    <w:pPr>
      <w:ind w:left="567"/>
      <w:spacing w:after="57"/>
    </w:pPr>
  </w:style>
  <w:style w:type="paragraph" w:styleId="847">
    <w:name w:val="toc 4"/>
    <w:basedOn w:val="656"/>
    <w:next w:val="656"/>
    <w:uiPriority w:val="39"/>
    <w:unhideWhenUsed/>
    <w:pPr>
      <w:ind w:left="850"/>
      <w:spacing w:after="57"/>
    </w:pPr>
  </w:style>
  <w:style w:type="paragraph" w:styleId="848">
    <w:name w:val="toc 5"/>
    <w:basedOn w:val="656"/>
    <w:next w:val="656"/>
    <w:uiPriority w:val="39"/>
    <w:unhideWhenUsed/>
    <w:pPr>
      <w:ind w:left="1134"/>
      <w:spacing w:after="57"/>
    </w:pPr>
  </w:style>
  <w:style w:type="paragraph" w:styleId="849">
    <w:name w:val="toc 6"/>
    <w:basedOn w:val="656"/>
    <w:next w:val="656"/>
    <w:uiPriority w:val="39"/>
    <w:unhideWhenUsed/>
    <w:pPr>
      <w:ind w:left="1417"/>
      <w:spacing w:after="57"/>
    </w:pPr>
  </w:style>
  <w:style w:type="paragraph" w:styleId="850">
    <w:name w:val="toc 7"/>
    <w:basedOn w:val="656"/>
    <w:next w:val="656"/>
    <w:uiPriority w:val="39"/>
    <w:unhideWhenUsed/>
    <w:pPr>
      <w:ind w:left="1701"/>
      <w:spacing w:after="57"/>
    </w:pPr>
  </w:style>
  <w:style w:type="paragraph" w:styleId="851">
    <w:name w:val="toc 8"/>
    <w:basedOn w:val="656"/>
    <w:next w:val="656"/>
    <w:uiPriority w:val="39"/>
    <w:unhideWhenUsed/>
    <w:pPr>
      <w:ind w:left="1984"/>
      <w:spacing w:after="57"/>
    </w:pPr>
  </w:style>
  <w:style w:type="paragraph" w:styleId="852">
    <w:name w:val="toc 9"/>
    <w:basedOn w:val="656"/>
    <w:next w:val="656"/>
    <w:uiPriority w:val="39"/>
    <w:unhideWhenUsed/>
    <w:pPr>
      <w:ind w:left="2268"/>
      <w:spacing w:after="57"/>
    </w:pPr>
  </w:style>
  <w:style w:type="paragraph" w:styleId="853">
    <w:name w:val="TOC Heading"/>
    <w:uiPriority w:val="39"/>
    <w:unhideWhenUsed/>
  </w:style>
  <w:style w:type="paragraph" w:styleId="854">
    <w:name w:val="table of figures"/>
    <w:basedOn w:val="656"/>
    <w:next w:val="656"/>
    <w:uiPriority w:val="99"/>
    <w:unhideWhenUsed/>
    <w:pPr>
      <w:spacing w:after="0"/>
    </w:pPr>
  </w:style>
  <w:style w:type="character" w:styleId="855">
    <w:name w:val="Hyperlink"/>
    <w:basedOn w:val="666"/>
    <w:uiPriority w:val="99"/>
    <w:unhideWhenUsed/>
    <w:rPr>
      <w:color w:val="0563c1" w:themeColor="hyperlink"/>
      <w:u w:val="single"/>
    </w:rPr>
  </w:style>
  <w:style w:type="paragraph" w:styleId="856">
    <w:name w:val="Balloon Text"/>
    <w:basedOn w:val="656"/>
    <w:link w:val="85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57" w:customStyle="1">
    <w:name w:val="Текст выноски Знак"/>
    <w:basedOn w:val="666"/>
    <w:link w:val="856"/>
    <w:uiPriority w:val="99"/>
    <w:semiHidden/>
    <w:rPr>
      <w:rFonts w:ascii="Segoe UI" w:hAnsi="Segoe UI" w:cs="Segoe UI"/>
      <w:sz w:val="18"/>
      <w:szCs w:val="18"/>
    </w:rPr>
  </w:style>
  <w:style w:type="paragraph" w:styleId="858" w:customStyle="1">
    <w:name w:val="ConsPlusNormal"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Afinogenova_IA@szn74.ru" TargetMode="External"/><Relationship Id="rId10" Type="http://schemas.openxmlformats.org/officeDocument/2006/relationships/hyperlink" Target="mailto:Zamyatina_OM@szn74.ru.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Маклаков</dc:creator>
  <cp:lastModifiedBy>zom</cp:lastModifiedBy>
  <cp:revision>17</cp:revision>
  <dcterms:created xsi:type="dcterms:W3CDTF">2021-12-28T12:02:00Z</dcterms:created>
  <dcterms:modified xsi:type="dcterms:W3CDTF">2025-04-25T09:52:56Z</dcterms:modified>
</cp:coreProperties>
</file>