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95" w:rsidRDefault="00E43195" w:rsidP="00E431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E43195" w:rsidRPr="00184392" w:rsidRDefault="00E43195" w:rsidP="00E4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3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КИРГИЗСКАЯ РЕСПУБЛИКА</w:t>
      </w:r>
    </w:p>
    <w:p w:rsidR="00E43195" w:rsidRDefault="00E43195" w:rsidP="00E43195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</w:rPr>
      </w:pPr>
    </w:p>
    <w:p w:rsidR="00E43195" w:rsidRPr="00184392" w:rsidRDefault="00E43195" w:rsidP="00E43195">
      <w:pPr>
        <w:spacing w:after="0" w:line="240" w:lineRule="auto"/>
        <w:jc w:val="center"/>
        <w:rPr>
          <w:rFonts w:ascii="Times New Roman" w:eastAsia="Batang" w:hAnsi="Times New Roman" w:cs="Times New Roman"/>
          <w:sz w:val="26"/>
          <w:szCs w:val="26"/>
        </w:rPr>
      </w:pPr>
      <w:r w:rsidRPr="00184392">
        <w:rPr>
          <w:rFonts w:ascii="Times New Roman" w:eastAsia="Batang" w:hAnsi="Times New Roman" w:cs="Times New Roman"/>
          <w:b/>
          <w:sz w:val="26"/>
          <w:szCs w:val="26"/>
        </w:rPr>
        <w:t>Условия ведения бизнеса.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b/>
          <w:i/>
          <w:sz w:val="24"/>
          <w:szCs w:val="24"/>
        </w:rPr>
        <w:t>Государственная регистрация</w:t>
      </w:r>
      <w:r w:rsidRPr="00184392">
        <w:rPr>
          <w:rFonts w:ascii="Times New Roman" w:eastAsia="Batang" w:hAnsi="Times New Roman" w:cs="Times New Roman"/>
          <w:sz w:val="24"/>
          <w:szCs w:val="24"/>
        </w:rPr>
        <w:t>. Государственная регистрация юридических лиц, филиалов (представительств), в том числе с участием иностранного капитала, осуществляется в соответствии с Законом Кыргызской Республики от 20 февраля 2009 года № 57 «О государственной регистрации юридических лиц, филиалов (представительств)».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Основными отличиями указанного Закона от Закона Кыргызской Республики от 12 июля 1996 года № 39 «О государственной регистрации юридических лиц» являются: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введение на законодательном уровне принципа «единого окна»;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отмена правовой экспертизы учредительных документов юридических лиц, за исключением некоммерческих организаций, финансово-кредитных учреждений и филиалов иностранных и международных организаций;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сокращение сроков регистрации юридических лиц до 3 рабочих дней, за исключением некоммерческих организаций, финансово-кредитных учреждений и филиалов иностранных организаций, регистрация которых осуществляется в течение 10 дней (для политических партий 30 дней);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введение платы за регистрацию в целях поддержания работоспособной электронной системы регистрации, за исключением органов государственной власти (государственная регистрация (перерегистрация) – 224 сома, регистрация прекращения деятельности – 192 сома);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упрощение порядка ликвидации юридического лица;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введение понятия принудительной ликвидации юридического лица;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защита наименований зарегистрированных (перерегистрированных) юридических лиц, филиалов и представительств.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proofErr w:type="gramStart"/>
      <w:r w:rsidRPr="00184392">
        <w:rPr>
          <w:rFonts w:ascii="Times New Roman" w:eastAsia="Batang" w:hAnsi="Times New Roman" w:cs="Times New Roman"/>
          <w:sz w:val="24"/>
          <w:szCs w:val="24"/>
        </w:rPr>
        <w:t>В целях исключения барьеров для ведения предпринимательской детальности для минимизации вмешательства со стороны государства в деятельность</w:t>
      </w:r>
      <w:proofErr w:type="gramEnd"/>
      <w:r w:rsidRPr="00184392">
        <w:rPr>
          <w:rFonts w:ascii="Times New Roman" w:eastAsia="Batang" w:hAnsi="Times New Roman" w:cs="Times New Roman"/>
          <w:sz w:val="24"/>
          <w:szCs w:val="24"/>
        </w:rPr>
        <w:t xml:space="preserve"> субъектов предпринимательства и исключения необоснованных требований в разрешительной системе разработан проект Закон Кыргызской Республики «О лицензиях и разрешениях», определяющий новые принципы, подходы в сфере лицензирования, условия и порядок выдачи лицензий</w:t>
      </w:r>
      <w:r w:rsidRPr="0018439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и разрешений. Законом будут предусматриваться конкретные перечни видов лицензий и разрешений.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b/>
          <w:i/>
          <w:sz w:val="24"/>
          <w:szCs w:val="24"/>
        </w:rPr>
        <w:t>Таможенный режим.</w:t>
      </w:r>
      <w:r w:rsidRPr="00184392">
        <w:rPr>
          <w:rFonts w:ascii="Times New Roman" w:eastAsia="Batang" w:hAnsi="Times New Roman" w:cs="Times New Roman"/>
          <w:i/>
          <w:sz w:val="28"/>
          <w:szCs w:val="28"/>
        </w:rPr>
        <w:t xml:space="preserve"> </w:t>
      </w:r>
      <w:r w:rsidRPr="00184392">
        <w:rPr>
          <w:rFonts w:ascii="Times New Roman" w:eastAsia="Batang" w:hAnsi="Times New Roman" w:cs="Times New Roman"/>
          <w:sz w:val="24"/>
          <w:szCs w:val="24"/>
        </w:rPr>
        <w:t>В Киргизской Республике не существует никаких административных преград для осуществления экспортно-импортных операций и существуют только тарифы на ввозимую продукцию, на экспорт продукции тарифов нет, за исключением применения пошлины на регенерируемую бумагу и картон (макулатура и отходы). Кыргызская Республика осуществляет торгово-экономические связи с 121 государством мирового торгового сообщества, из которых более 70 являются членами ВТО.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Государственные и частные предприятия имеют право заниматься импортно-экспортными операциями без специальной регистрации или ограничений. Кыргызская Республика предоставляет в торговле 152 членам ВТО режим наибольшего благоприятствования согласно правилам и нормам этой организации.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Торговля с государствами – участниками СНГ осуществляется на основе двусторонних соглашений о свободной торговле, заключенных между Кыргызской Республикой и другими государствами – участниками СНГ. Соглашениями предусматривается торговля без взимания таможенных пошлин, налогов и сборов, имеющих эквивалентное действие, а также количественных ограничений.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lastRenderedPageBreak/>
        <w:t xml:space="preserve">В отношении товаров, происходящих и ввозимых из наименее развитых стран, Кыргызская Республика предоставляет тарифные преференции в виде освобождения от уплаты таможенной пошлины согласно взятым обязательствам в рамках </w:t>
      </w:r>
      <w:proofErr w:type="spellStart"/>
      <w:r w:rsidRPr="00184392">
        <w:rPr>
          <w:rFonts w:ascii="Times New Roman" w:eastAsia="Batang" w:hAnsi="Times New Roman" w:cs="Times New Roman"/>
          <w:sz w:val="24"/>
          <w:szCs w:val="24"/>
        </w:rPr>
        <w:t>ЕврАзЭС</w:t>
      </w:r>
      <w:proofErr w:type="spellEnd"/>
      <w:r w:rsidRPr="00184392">
        <w:rPr>
          <w:rFonts w:ascii="Times New Roman" w:eastAsia="Batang" w:hAnsi="Times New Roman" w:cs="Times New Roman"/>
          <w:sz w:val="24"/>
          <w:szCs w:val="24"/>
        </w:rPr>
        <w:t xml:space="preserve"> и СНГ.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b/>
          <w:i/>
          <w:sz w:val="24"/>
          <w:szCs w:val="24"/>
        </w:rPr>
        <w:t>Налогообложение</w:t>
      </w: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. Налогообложение в Кыргызской Республике регулируется Налоговым кодексом Киргизской Республики и подзаконными актами (постановления, положения, инструкции, приказы).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С 1 января 2009 года в Киргизской Республике действует новая редакция Налогового кодекса – единого кодифицированного документа, охватившего все виды налогов и налоговых действий, интегрировавшего все налоговое поле страны. Достижениями новой редакции Налогового кодекса стали снижение ставок основных налогов, снижение общего количества налогов и сборов с 16 до 8, либерализация налогового администрирования по отношению к добросовестному налогоплательщику, введение механизмов партнерства, снижены ставки налогов: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налог на прибыль – ставка 10 %;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подоходный налог – 10 %;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НДС – ставка 12 %, 0 % – за экспортные поставки;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акцизный налог – дифференцированные ставки;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налог за пользование недрами – дифференцированные ставки;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налог с продаж: для плательщиков НДС 1 % – для торговой деятельности, для остальных – 2 %;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для неплательщиков НДС 2 % – для торговой деятельности, для остальных – 3 %.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Установленный новой редакцией Налогового кодекса либеральный налоговый режим для предпринимателей и инвесторов имеет </w:t>
      </w:r>
      <w:proofErr w:type="gramStart"/>
      <w:r w:rsidRPr="00184392">
        <w:rPr>
          <w:rFonts w:ascii="Times New Roman" w:eastAsia="Batang" w:hAnsi="Times New Roman" w:cs="Times New Roman"/>
          <w:sz w:val="24"/>
          <w:szCs w:val="24"/>
        </w:rPr>
        <w:t>важное значение</w:t>
      </w:r>
      <w:proofErr w:type="gramEnd"/>
      <w:r w:rsidRPr="00184392">
        <w:rPr>
          <w:rFonts w:ascii="Times New Roman" w:eastAsia="Batang" w:hAnsi="Times New Roman" w:cs="Times New Roman"/>
          <w:sz w:val="24"/>
          <w:szCs w:val="24"/>
        </w:rPr>
        <w:t xml:space="preserve"> для их привлечения в легальное поле деятельности, увеличения объемов производства и, соответственно, стимулирует рост налоговых поступлений в бюджет страны.</w:t>
      </w:r>
    </w:p>
    <w:p w:rsidR="00E43195" w:rsidRPr="00184392" w:rsidRDefault="00E43195" w:rsidP="00E43195">
      <w:pPr>
        <w:keepLines/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СЭЗ.  </w:t>
      </w: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В соответствии с Законом «О свободных экономических зонах в Кыргызской Республике» в СЭЗ действует особый таможенный режим, который включает отмену таможенных пошлин на вывоз товаров, произведенных в СЭЗ, и ввоз товаров в СЭЗ.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Резидентам СЭЗ предоставляются следующие льготы и преимущества: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освобождение от уплаты всех видов налогов и других выплат в течение всего периода деятельности в СЭЗ, за исключением субъектов СЭЗ, оказывающих услуги для потребления на внутреннем рынке Кыргызской Республики;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платежи по ставке 0,1–2 % выручки от реализации товаров и услуг в генеральную дирекцию СЭЗ в целях обеспечения льгот и преимуществ на территории СЭЗ;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экспорт произведенной в СЭЗ продукции освобождается от квотирования, за исключением экспорта на таможенную территорию Кыргызской Республики, объем которого не должен превышать 30 % общего объема производимой продукции в СЭЗ, в течение года и лицензирования;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на прибыль и доходы субъектов СЭЗ, полученные в процессе деятельности в этой зоне, полученные в процессе деятельности и направленные в производственную сферу на других территориях Киргизской Республики, сохраняются льготы по налогообложению, предусмотренные Законом Кыргызской Республики «О свободных экономических зонах»;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упрощенная и быстрая регистрация;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упрощенные таможенные процедуры;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pacing w:val="-6"/>
          <w:sz w:val="24"/>
          <w:szCs w:val="24"/>
        </w:rPr>
        <w:t>прямой доступ к необходимой инфраструктуре, включая телекоммуникации,</w:t>
      </w: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 водоснабжение, электроснабжение и средства транспортировки.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Инвестиционный климат. </w:t>
      </w: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Киргизская Республика занимает геостратегически важное местоположение между мировыми игроками – Китаем, Россией и богатыми странами Востока, является выгодной площадкой для освоения близлежащих рынков Средней Азии, России, Китая и Ближнего Востока. Со всеми этими государствами Киргизская Республика имеет налаженные пути сообщения и развитые дипломатические </w:t>
      </w:r>
      <w:r w:rsidRPr="00184392">
        <w:rPr>
          <w:rFonts w:ascii="Times New Roman" w:eastAsia="Batang" w:hAnsi="Times New Roman" w:cs="Times New Roman"/>
          <w:sz w:val="24"/>
          <w:szCs w:val="24"/>
        </w:rPr>
        <w:lastRenderedPageBreak/>
        <w:t>отношения, позволяющие продвигать компании и их продукцию в государствах. Поэтому у иностранных компаний, рассматривающих открытие бизнеса в Киргизской Республике, будет обеспеченный доступ к этим рынкам.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Киргизская Республика активно участвует в ряде международных экономических организаций. Республика является страной – основателем ШОС, а также первым государством в регионе Центральной Азии, вступившим в ВТО.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Членство в ВТО позволило ускорить </w:t>
      </w:r>
      <w:proofErr w:type="spellStart"/>
      <w:r w:rsidRPr="00184392">
        <w:rPr>
          <w:rFonts w:ascii="Times New Roman" w:eastAsia="Batang" w:hAnsi="Times New Roman" w:cs="Times New Roman"/>
          <w:sz w:val="24"/>
          <w:szCs w:val="24"/>
        </w:rPr>
        <w:t>либерализационные</w:t>
      </w:r>
      <w:proofErr w:type="spellEnd"/>
      <w:r w:rsidRPr="00184392">
        <w:rPr>
          <w:rFonts w:ascii="Times New Roman" w:eastAsia="Batang" w:hAnsi="Times New Roman" w:cs="Times New Roman"/>
          <w:sz w:val="24"/>
          <w:szCs w:val="24"/>
        </w:rPr>
        <w:t xml:space="preserve"> процессы и интеграцию экономики во всемирную торговую систему.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В соответствии с Законом Кыргызской Республики от 27 марта 2003 года № 66 «Об инвестициях в Кыргызской Республике» инвестиции на территории Киргизской Республики пользуются полной и безусловной правовой защитой.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proofErr w:type="gramStart"/>
      <w:r w:rsidRPr="00184392">
        <w:rPr>
          <w:rFonts w:ascii="Times New Roman" w:eastAsia="Batang" w:hAnsi="Times New Roman" w:cs="Times New Roman"/>
          <w:sz w:val="24"/>
          <w:szCs w:val="24"/>
        </w:rPr>
        <w:t>В Законе подтверждаются инвестиционный режим и стабильные условия для инвесторов и устанавливается, что в случае внесения изменений или дополнений в инвестиционное законодательство Киргизской Республики, за исключением Конституции Киргизской Республики, налоговое законодательство и в законодательство Киргизской Республики, связанное с вопросами национальной безопасности, здравоохранения и защиты окружающей среды, инвесторы в течение 10 лет с даты принятия таких изменений или дополнений имеют право</w:t>
      </w:r>
      <w:proofErr w:type="gramEnd"/>
      <w:r w:rsidRPr="00184392">
        <w:rPr>
          <w:rFonts w:ascii="Times New Roman" w:eastAsia="Batang" w:hAnsi="Times New Roman" w:cs="Times New Roman"/>
          <w:sz w:val="24"/>
          <w:szCs w:val="24"/>
        </w:rPr>
        <w:t xml:space="preserve"> выбора наиболее благоприятных для них условий.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proofErr w:type="gramStart"/>
      <w:r w:rsidRPr="00184392">
        <w:rPr>
          <w:rFonts w:ascii="Times New Roman" w:eastAsia="Batang" w:hAnsi="Times New Roman" w:cs="Times New Roman"/>
          <w:sz w:val="24"/>
          <w:szCs w:val="24"/>
        </w:rPr>
        <w:t xml:space="preserve">Также инвестиции не подлежат экспроприации (национализации, реквизиции или иным эквивалентным мерам, в том числе включающим действие или бездействие со стороны уполномоченных государственных органов Киргизской Республики, приведшим к принудительному изъятию средств инвестора или лишению его возможности воспользоваться результатами инвестиций), за исключением случаев, предусмотренных законодательством Киргизской Республики, когда такая экспроприация осуществляется в общественных интересах на основе </w:t>
      </w:r>
      <w:proofErr w:type="spellStart"/>
      <w:r w:rsidRPr="00184392">
        <w:rPr>
          <w:rFonts w:ascii="Times New Roman" w:eastAsia="Batang" w:hAnsi="Times New Roman" w:cs="Times New Roman"/>
          <w:sz w:val="24"/>
          <w:szCs w:val="24"/>
        </w:rPr>
        <w:t>недискриминации</w:t>
      </w:r>
      <w:proofErr w:type="spellEnd"/>
      <w:r w:rsidRPr="00184392">
        <w:rPr>
          <w:rFonts w:ascii="Times New Roman" w:eastAsia="Batang" w:hAnsi="Times New Roman" w:cs="Times New Roman"/>
          <w:sz w:val="24"/>
          <w:szCs w:val="24"/>
        </w:rPr>
        <w:t xml:space="preserve"> с соблюдением надлежащего законного порядка</w:t>
      </w:r>
      <w:proofErr w:type="gramEnd"/>
      <w:r w:rsidRPr="00184392">
        <w:rPr>
          <w:rFonts w:ascii="Times New Roman" w:eastAsia="Batang" w:hAnsi="Times New Roman" w:cs="Times New Roman"/>
          <w:sz w:val="24"/>
          <w:szCs w:val="24"/>
        </w:rPr>
        <w:t xml:space="preserve"> и проводится с выплатой своевременного, надлежащего и реального возмещения ущерба, включая упущенную выгоду.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Иностранным инвесторам предоставлен национальный режим инвестирования, т.е. они уравнены в своих правах с отечественными инвесторами, что создает равноправную конкурентную среду. Инвесторы также свободны в объемах репатриируемого капитала и дивидендов, и необходимо отметить, что согласно новой редакции Налогового кодекса в Киргизской Республике действуют весьма невысокие налоговые ставки.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В Киргизской Республике иностранные инвесторы объединены в общественное объединение «Международный Деловой Совет» (далее – МДС), и, как показывает практика, МДС заслужил высокий авторитет в среде бизнеса и государственных структур и вносит посильную лепту в решение инвестиционных проблем республики. Суммарные инвестиции членов МДС превышают 1 млрд. долларов США.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>Во многие сектора экономики</w:t>
      </w:r>
      <w:r w:rsidRPr="0018439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Кыргызской Республики поступают иностранные инвестиции. Основными из них являются гидроэнергетика, энергетика, горнодобывающая промышленность, туризм и сельское хозяйство.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Киргизская Республика богата минеральными ресурсами. Например, исследованные запасы золота составляют 420 тонн. Кроме золота присутствуют ртуть, сурьма, олово и редкие металлы. </w:t>
      </w:r>
    </w:p>
    <w:p w:rsidR="00E43195" w:rsidRPr="00184392" w:rsidRDefault="00E43195" w:rsidP="00E43195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84392">
        <w:rPr>
          <w:rFonts w:ascii="Times New Roman" w:eastAsia="Batang" w:hAnsi="Times New Roman" w:cs="Times New Roman"/>
          <w:sz w:val="24"/>
          <w:szCs w:val="24"/>
        </w:rPr>
        <w:t xml:space="preserve">Одним из перспективных направлений является строительство гидроэлектростанций. Гидроэнергетический потенциал составляет 142 млрд. руб. кВт/час, и из них используются только 10 %. Возможность репатриации прибыли и дивидендов, наличие высокообразованных человеческих ресурсов, либеральные условия для инвестирования, доступность поощрений и преференций, а также приемлемая стоимость рабочей силы создают хорошие возможности для выгодного вложения инвестиций в Киргизскую Республику. </w:t>
      </w:r>
    </w:p>
    <w:p w:rsidR="00E43195" w:rsidRDefault="00E43195">
      <w:pPr>
        <w:ind w:firstLine="851"/>
      </w:pPr>
      <w:bookmarkStart w:id="0" w:name="_GoBack"/>
      <w:bookmarkEnd w:id="0"/>
    </w:p>
    <w:sectPr w:rsidR="00E4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95"/>
    <w:rsid w:val="005B0DD3"/>
    <w:rsid w:val="00692E8D"/>
    <w:rsid w:val="00E4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ТПП РФ</Company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Стасюн О.В. (337)</dc:creator>
  <cp:keywords/>
  <dc:description/>
  <cp:lastModifiedBy>Стасюн О.В. (337)</cp:lastModifiedBy>
  <cp:revision>2</cp:revision>
  <cp:lastPrinted>2013-12-12T09:46:00Z</cp:lastPrinted>
  <dcterms:created xsi:type="dcterms:W3CDTF">2013-12-09T13:14:00Z</dcterms:created>
  <dcterms:modified xsi:type="dcterms:W3CDTF">2013-12-12T09:46:00Z</dcterms:modified>
</cp:coreProperties>
</file>