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81" w:rsidRPr="0044679E" w:rsidRDefault="003D3A81" w:rsidP="003D3A81">
      <w:pPr>
        <w:suppressAutoHyphens/>
        <w:spacing w:before="240" w:after="240" w:line="240" w:lineRule="auto"/>
        <w:rPr>
          <w:b/>
          <w:szCs w:val="28"/>
        </w:rPr>
      </w:pPr>
      <w:bookmarkStart w:id="0" w:name="_GoBack"/>
      <w:r w:rsidRPr="0044679E">
        <w:rPr>
          <w:b/>
          <w:szCs w:val="28"/>
        </w:rPr>
        <w:t>Перечень взаимных претензий, предъявляемых государствами – участниками СНГ</w:t>
      </w:r>
      <w:bookmarkEnd w:id="0"/>
      <w:r w:rsidR="000361C8">
        <w:rPr>
          <w:b/>
          <w:szCs w:val="28"/>
        </w:rPr>
        <w:t xml:space="preserve">, </w:t>
      </w:r>
      <w:r w:rsidR="000361C8">
        <w:rPr>
          <w:b/>
          <w:szCs w:val="28"/>
        </w:rPr>
        <w:br/>
        <w:t>для рассмотрения на заседании Рабочей группы 11 апреля 2023 года</w:t>
      </w:r>
    </w:p>
    <w:p w:rsidR="000C176E" w:rsidRDefault="000C176E"/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6734"/>
        <w:gridCol w:w="70"/>
        <w:gridCol w:w="1560"/>
        <w:gridCol w:w="32"/>
        <w:gridCol w:w="5921"/>
      </w:tblGrid>
      <w:tr w:rsidR="00C71604" w:rsidRPr="0044679E" w:rsidTr="000361C8"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71604" w:rsidRPr="0044679E" w:rsidRDefault="00C71604" w:rsidP="00493208">
            <w:pPr>
              <w:suppressAutoHyphens/>
              <w:spacing w:before="0" w:line="200" w:lineRule="exact"/>
              <w:ind w:left="-57" w:right="-57"/>
              <w:rPr>
                <w:sz w:val="20"/>
              </w:rPr>
            </w:pPr>
            <w:r w:rsidRPr="0044679E">
              <w:rPr>
                <w:sz w:val="20"/>
              </w:rPr>
              <w:t>№</w:t>
            </w:r>
            <w:r w:rsidRPr="0044679E">
              <w:rPr>
                <w:sz w:val="20"/>
              </w:rPr>
              <w:br/>
            </w:r>
            <w:proofErr w:type="gramStart"/>
            <w:r w:rsidRPr="0044679E">
              <w:rPr>
                <w:sz w:val="20"/>
              </w:rPr>
              <w:t>п</w:t>
            </w:r>
            <w:proofErr w:type="gramEnd"/>
            <w:r w:rsidRPr="0044679E">
              <w:rPr>
                <w:sz w:val="20"/>
              </w:rPr>
              <w:t>/п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71604" w:rsidRPr="0044679E" w:rsidRDefault="00C71604" w:rsidP="00493208">
            <w:pPr>
              <w:suppressAutoHyphens/>
              <w:spacing w:before="0" w:line="200" w:lineRule="exact"/>
              <w:ind w:left="-57" w:right="-57"/>
              <w:rPr>
                <w:sz w:val="20"/>
              </w:rPr>
            </w:pPr>
            <w:r w:rsidRPr="0044679E">
              <w:rPr>
                <w:sz w:val="20"/>
              </w:rPr>
              <w:t>Описание меры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71604" w:rsidRPr="0044679E" w:rsidRDefault="00C71604" w:rsidP="00493208">
            <w:pPr>
              <w:suppressAutoHyphens/>
              <w:spacing w:before="0" w:line="200" w:lineRule="exact"/>
              <w:ind w:left="-57" w:right="-57"/>
              <w:rPr>
                <w:sz w:val="20"/>
              </w:rPr>
            </w:pPr>
            <w:r w:rsidRPr="0044679E">
              <w:rPr>
                <w:sz w:val="20"/>
              </w:rPr>
              <w:t xml:space="preserve">Страна, </w:t>
            </w:r>
            <w:r w:rsidRPr="0044679E">
              <w:rPr>
                <w:sz w:val="20"/>
              </w:rPr>
              <w:br/>
              <w:t>предъявляющая претензию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71604" w:rsidRPr="0044679E" w:rsidRDefault="00C71604" w:rsidP="00493208">
            <w:pPr>
              <w:suppressAutoHyphens/>
              <w:spacing w:before="0" w:line="200" w:lineRule="exact"/>
              <w:ind w:left="-57" w:right="-57"/>
              <w:rPr>
                <w:sz w:val="20"/>
              </w:rPr>
            </w:pPr>
            <w:r w:rsidRPr="0044679E">
              <w:rPr>
                <w:sz w:val="20"/>
              </w:rPr>
              <w:t>Примечание</w:t>
            </w:r>
          </w:p>
        </w:tc>
      </w:tr>
      <w:tr w:rsidR="00C71604" w:rsidRPr="0044679E" w:rsidTr="000361C8">
        <w:trPr>
          <w:tblHeader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71604" w:rsidRPr="0044679E" w:rsidRDefault="00C71604" w:rsidP="00493208">
            <w:pPr>
              <w:suppressAutoHyphens/>
              <w:spacing w:before="0"/>
              <w:rPr>
                <w:sz w:val="20"/>
              </w:rPr>
            </w:pPr>
            <w:r w:rsidRPr="0044679E">
              <w:rPr>
                <w:sz w:val="20"/>
              </w:rPr>
              <w:t>1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71604" w:rsidRPr="0044679E" w:rsidRDefault="00C71604" w:rsidP="00493208">
            <w:pPr>
              <w:suppressAutoHyphens/>
              <w:spacing w:before="0"/>
              <w:ind w:right="-57"/>
              <w:rPr>
                <w:spacing w:val="-4"/>
                <w:sz w:val="20"/>
              </w:rPr>
            </w:pPr>
            <w:r w:rsidRPr="0044679E">
              <w:rPr>
                <w:spacing w:val="-4"/>
                <w:sz w:val="20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71604" w:rsidRPr="0044679E" w:rsidRDefault="00C71604" w:rsidP="00493208">
            <w:pPr>
              <w:suppressAutoHyphens/>
              <w:spacing w:before="0"/>
              <w:ind w:right="-57"/>
              <w:rPr>
                <w:spacing w:val="-4"/>
                <w:sz w:val="20"/>
              </w:rPr>
            </w:pPr>
            <w:r w:rsidRPr="0044679E">
              <w:rPr>
                <w:spacing w:val="-4"/>
                <w:sz w:val="20"/>
              </w:rPr>
              <w:t>3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71604" w:rsidRPr="0044679E" w:rsidRDefault="00C71604" w:rsidP="00493208">
            <w:pPr>
              <w:suppressAutoHyphens/>
              <w:spacing w:before="0"/>
              <w:ind w:right="-57"/>
              <w:rPr>
                <w:spacing w:val="-4"/>
                <w:sz w:val="20"/>
              </w:rPr>
            </w:pPr>
            <w:r w:rsidRPr="0044679E">
              <w:rPr>
                <w:spacing w:val="-4"/>
                <w:sz w:val="20"/>
              </w:rPr>
              <w:t>4</w:t>
            </w:r>
          </w:p>
        </w:tc>
      </w:tr>
      <w:tr w:rsidR="000361C8" w:rsidRPr="0044679E" w:rsidTr="00AF7FA2">
        <w:tc>
          <w:tcPr>
            <w:tcW w:w="14884" w:type="dxa"/>
            <w:gridSpan w:val="6"/>
            <w:shd w:val="clear" w:color="auto" w:fill="auto"/>
          </w:tcPr>
          <w:p w:rsidR="000361C8" w:rsidRPr="001F2734" w:rsidRDefault="000361C8" w:rsidP="00AF7FA2">
            <w:pPr>
              <w:suppressAutoHyphens/>
              <w:spacing w:before="0" w:line="230" w:lineRule="exact"/>
              <w:ind w:right="-57"/>
              <w:rPr>
                <w:b/>
                <w:spacing w:val="-4"/>
                <w:sz w:val="24"/>
                <w:szCs w:val="24"/>
              </w:rPr>
            </w:pPr>
            <w:r w:rsidRPr="001F2734">
              <w:rPr>
                <w:b/>
                <w:spacing w:val="-4"/>
                <w:sz w:val="24"/>
                <w:szCs w:val="24"/>
              </w:rPr>
              <w:t>Республика Узбекистан</w:t>
            </w:r>
          </w:p>
        </w:tc>
      </w:tr>
      <w:tr w:rsidR="000361C8" w:rsidRPr="0044679E" w:rsidTr="00AF7FA2">
        <w:tc>
          <w:tcPr>
            <w:tcW w:w="567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5" w:lineRule="exact"/>
              <w:rPr>
                <w:sz w:val="24"/>
                <w:szCs w:val="24"/>
              </w:rPr>
            </w:pPr>
            <w:r w:rsidRPr="0044679E">
              <w:rPr>
                <w:sz w:val="24"/>
                <w:szCs w:val="24"/>
              </w:rPr>
              <w:t>1.</w:t>
            </w:r>
          </w:p>
        </w:tc>
        <w:tc>
          <w:tcPr>
            <w:tcW w:w="6734" w:type="dxa"/>
            <w:shd w:val="clear" w:color="auto" w:fill="auto"/>
          </w:tcPr>
          <w:p w:rsidR="000361C8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Применение дополнительных сборов с иностранных грузовых автотранспортных средств за въезд на территорию Узбекистана</w:t>
            </w:r>
            <w:r>
              <w:rPr>
                <w:spacing w:val="-4"/>
                <w:sz w:val="24"/>
                <w:szCs w:val="24"/>
              </w:rPr>
              <w:t>.</w:t>
            </w:r>
          </w:p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rStyle w:val="212pt"/>
                <w:rFonts w:eastAsia="Calibri"/>
                <w:b w:val="0"/>
                <w:spacing w:val="-4"/>
              </w:rPr>
            </w:pPr>
            <w:r w:rsidRPr="001F2734">
              <w:rPr>
                <w:spacing w:val="-4"/>
                <w:sz w:val="24"/>
                <w:szCs w:val="24"/>
              </w:rPr>
              <w:t>Согласно приложению 10 Закона Республики Узбекистан «О государственном бюджете» установлены сборы за въезд и транзит через территорию Узбекистана для грузовых автомобилей, которые носят дифференцированный характер. В частности, пошлина для армянских и белорусских грузовиков составляет 400 долл. США, для казахстанских и кыргызских грузовиков – 300 долл. США, для грузовиков из стран Евросоюза – 150 долл. США</w:t>
            </w:r>
          </w:p>
        </w:tc>
        <w:tc>
          <w:tcPr>
            <w:tcW w:w="1662" w:type="dxa"/>
            <w:gridSpan w:val="3"/>
            <w:shd w:val="clear" w:color="auto" w:fill="auto"/>
          </w:tcPr>
          <w:p w:rsidR="000361C8" w:rsidRDefault="000361C8" w:rsidP="00AF7FA2">
            <w:pPr>
              <w:suppressAutoHyphens/>
              <w:spacing w:before="0" w:line="235" w:lineRule="exact"/>
              <w:ind w:right="-57"/>
              <w:rPr>
                <w:spacing w:val="-4"/>
                <w:sz w:val="24"/>
                <w:szCs w:val="24"/>
              </w:rPr>
            </w:pPr>
            <w:r w:rsidRPr="001F2734">
              <w:rPr>
                <w:spacing w:val="-4"/>
                <w:sz w:val="24"/>
                <w:szCs w:val="24"/>
              </w:rPr>
              <w:t>Республика Армения,</w:t>
            </w:r>
            <w:r w:rsidRPr="0044679E">
              <w:rPr>
                <w:spacing w:val="-4"/>
                <w:sz w:val="24"/>
                <w:szCs w:val="24"/>
              </w:rPr>
              <w:t xml:space="preserve"> Республика</w:t>
            </w:r>
            <w:r w:rsidRPr="0044679E">
              <w:rPr>
                <w:spacing w:val="-4"/>
                <w:sz w:val="24"/>
                <w:szCs w:val="24"/>
              </w:rPr>
              <w:br/>
              <w:t>Беларусь</w:t>
            </w:r>
          </w:p>
          <w:p w:rsidR="000361C8" w:rsidRPr="0044679E" w:rsidRDefault="000361C8" w:rsidP="00AF7FA2">
            <w:pPr>
              <w:suppressAutoHyphens/>
              <w:spacing w:before="0" w:line="235" w:lineRule="exact"/>
              <w:ind w:right="-57"/>
              <w:rPr>
                <w:spacing w:val="-4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</w:p>
        </w:tc>
      </w:tr>
      <w:tr w:rsidR="000361C8" w:rsidRPr="0044679E" w:rsidTr="00AF7FA2">
        <w:tc>
          <w:tcPr>
            <w:tcW w:w="567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0" w:lineRule="exact"/>
              <w:rPr>
                <w:sz w:val="24"/>
                <w:szCs w:val="24"/>
              </w:rPr>
            </w:pPr>
            <w:r w:rsidRPr="0044679E">
              <w:rPr>
                <w:sz w:val="24"/>
                <w:szCs w:val="24"/>
              </w:rPr>
              <w:t>2.</w:t>
            </w:r>
          </w:p>
        </w:tc>
        <w:tc>
          <w:tcPr>
            <w:tcW w:w="6734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rStyle w:val="212pt"/>
                <w:rFonts w:eastAsia="Calibri"/>
                <w:b w:val="0"/>
                <w:spacing w:val="-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Государства – участники Договора, за исключением Узбекистана, применяют Правила определения страны происхождения товаров от 20 ноября 2009 года. Республикой Узбекистан применяются Правила определения страны происхождения товаров от 24 сентября 1993 года, </w:t>
            </w:r>
            <w:r w:rsidRPr="0044679E">
              <w:rPr>
                <w:spacing w:val="-4"/>
                <w:sz w:val="24"/>
              </w:rPr>
              <w:t xml:space="preserve">несмотря на </w:t>
            </w:r>
            <w:proofErr w:type="gramStart"/>
            <w:r w:rsidRPr="0044679E">
              <w:rPr>
                <w:spacing w:val="-4"/>
                <w:sz w:val="24"/>
              </w:rPr>
              <w:t>то</w:t>
            </w:r>
            <w:proofErr w:type="gramEnd"/>
            <w:r w:rsidRPr="0044679E">
              <w:rPr>
                <w:spacing w:val="-4"/>
                <w:sz w:val="24"/>
              </w:rPr>
              <w:t xml:space="preserve"> что превалирующий объем товарооборота в рамках СНГ осуществляется в соответствии с Правилами 2009 года.</w:t>
            </w:r>
          </w:p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Разница между двумя данными документами, определяющими правила определения страны происхождения, заключается в том, что в Правилах 1993 года применяется один критерий происхождения для всех товаров (изменение на первых четырех знаках ТН ВЭД), при 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том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 как в Правилах 2009 года могут применяться и иные, более либеральные критерии. </w:t>
            </w:r>
          </w:p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</w:rPr>
            </w:pPr>
            <w:r w:rsidRPr="0044679E">
              <w:rPr>
                <w:spacing w:val="-4"/>
                <w:sz w:val="24"/>
              </w:rPr>
              <w:t>Таким образом, как российские, так и казахстанские производители при экспорте своей продукции, содержащей иностранные компоненты, лишаются возможности применения в двусторонней торговле преференциального режима</w:t>
            </w:r>
          </w:p>
        </w:tc>
        <w:tc>
          <w:tcPr>
            <w:tcW w:w="1662" w:type="dxa"/>
            <w:gridSpan w:val="3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Республика Казахстан, Российская Федерация</w:t>
            </w:r>
          </w:p>
        </w:tc>
        <w:tc>
          <w:tcPr>
            <w:tcW w:w="5921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Республика Узбекистан информирует, что в соответствии с пунктом 3 статьи 2 Протокола о применении Договора о зоне свободной торговли от 18 октября 2011 года между его Сторонами и Республикой Узбекистан от 31 мая 2013 года на бессрочной основе применяются Правила определения страны происхождения товаров СНГ от 24 сентября 1993 года.</w:t>
            </w:r>
          </w:p>
          <w:p w:rsidR="000361C8" w:rsidRPr="0044679E" w:rsidRDefault="000361C8" w:rsidP="00AF7FA2">
            <w:pPr>
              <w:suppressAutoHyphens/>
              <w:spacing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Вместе с тем ведется изучение влияния на отрасли экономики и экспортный потенциал страны применение Правил определения страны происхождения товаров СНГ от 20 ноября 2009 года.</w:t>
            </w:r>
          </w:p>
          <w:p w:rsidR="000361C8" w:rsidRPr="0044679E" w:rsidRDefault="000361C8" w:rsidP="00AF7FA2">
            <w:pPr>
              <w:suppressAutoHyphens/>
              <w:spacing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При этом на данном этапе развития отечественного производства присоединение к Правилам определения страны происхождения товаров СНГ от 20 ноября 2009 года считается преждевременным.</w:t>
            </w:r>
          </w:p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Необходимо отметить, что, согласно Венской конвенции о праве международных договоров установлен принцип свободного согласия; так как вопрос присоединения к международным соглашениям (в том числе Правилам </w:t>
            </w:r>
            <w:r w:rsidRPr="0044679E">
              <w:rPr>
                <w:spacing w:val="-4"/>
                <w:sz w:val="24"/>
                <w:szCs w:val="24"/>
              </w:rPr>
              <w:lastRenderedPageBreak/>
              <w:t>определения страны</w:t>
            </w:r>
            <w:r w:rsidRPr="0044679E">
              <w:rPr>
                <w:spacing w:val="-4"/>
              </w:rPr>
              <w:t xml:space="preserve"> </w:t>
            </w:r>
            <w:r w:rsidRPr="0044679E">
              <w:rPr>
                <w:spacing w:val="-4"/>
                <w:sz w:val="24"/>
                <w:szCs w:val="24"/>
              </w:rPr>
              <w:t>происхождения) является суверенной прерогативой государства и частью экономической политики страны</w:t>
            </w:r>
          </w:p>
        </w:tc>
      </w:tr>
      <w:tr w:rsidR="000361C8" w:rsidRPr="0044679E" w:rsidTr="00AF7FA2">
        <w:tc>
          <w:tcPr>
            <w:tcW w:w="567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734" w:type="dxa"/>
            <w:shd w:val="clear" w:color="auto" w:fill="auto"/>
          </w:tcPr>
          <w:p w:rsidR="000361C8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 w:rsidRPr="0099387F">
              <w:rPr>
                <w:spacing w:val="-4"/>
                <w:sz w:val="24"/>
                <w:szCs w:val="24"/>
              </w:rPr>
              <w:t>оставк</w:t>
            </w:r>
            <w:r>
              <w:rPr>
                <w:spacing w:val="-4"/>
                <w:sz w:val="24"/>
                <w:szCs w:val="24"/>
              </w:rPr>
              <w:t>и</w:t>
            </w:r>
            <w:r w:rsidRPr="0099387F">
              <w:rPr>
                <w:spacing w:val="-4"/>
                <w:sz w:val="24"/>
                <w:szCs w:val="24"/>
              </w:rPr>
              <w:t xml:space="preserve"> ОАО «Минский механический завод имени </w:t>
            </w:r>
            <w:proofErr w:type="spellStart"/>
            <w:r w:rsidRPr="0099387F">
              <w:rPr>
                <w:spacing w:val="-4"/>
                <w:sz w:val="24"/>
                <w:szCs w:val="24"/>
              </w:rPr>
              <w:t>С.И.Вавилова</w:t>
            </w:r>
            <w:proofErr w:type="spellEnd"/>
            <w:r w:rsidRPr="0099387F">
              <w:rPr>
                <w:spacing w:val="-4"/>
                <w:sz w:val="24"/>
                <w:szCs w:val="24"/>
              </w:rPr>
              <w:t xml:space="preserve">» </w:t>
            </w:r>
            <w:proofErr w:type="spellStart"/>
            <w:r w:rsidRPr="0099387F">
              <w:rPr>
                <w:spacing w:val="-4"/>
                <w:sz w:val="24"/>
                <w:szCs w:val="24"/>
              </w:rPr>
              <w:t>электросоковыжималок</w:t>
            </w:r>
            <w:proofErr w:type="spellEnd"/>
            <w:r w:rsidRPr="0099387F">
              <w:rPr>
                <w:spacing w:val="-4"/>
                <w:sz w:val="24"/>
                <w:szCs w:val="24"/>
              </w:rPr>
              <w:t xml:space="preserve"> собственного производства в Республику Узбекистан. </w:t>
            </w:r>
          </w:p>
          <w:p w:rsidR="000361C8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Требования узбекской стороны: обязательная энергетическая маркировка и сертификация бытовых приборов, класс </w:t>
            </w:r>
            <w:proofErr w:type="spellStart"/>
            <w:r>
              <w:rPr>
                <w:spacing w:val="-4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. </w:t>
            </w:r>
          </w:p>
          <w:p w:rsidR="000361C8" w:rsidRDefault="000361C8" w:rsidP="00AF7FA2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Однако в нормативно-правовых актах государств – членов Евразийского экономического союза и Европейского союза не предусмотрены требования к соковыжималкам по энергетической эффективности. В этих странах, как и в </w:t>
            </w:r>
            <w:proofErr w:type="gramStart"/>
            <w:r>
              <w:rPr>
                <w:spacing w:val="-4"/>
                <w:sz w:val="24"/>
                <w:szCs w:val="24"/>
              </w:rPr>
              <w:t>Республике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Узбекистан отсутствуют аккредитованные испытательные лаборатории.</w:t>
            </w:r>
          </w:p>
          <w:p w:rsidR="000361C8" w:rsidRPr="0044679E" w:rsidRDefault="000361C8" w:rsidP="000361C8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 этой связи требования узбекской стороны выполнить невозможно</w:t>
            </w:r>
          </w:p>
        </w:tc>
        <w:tc>
          <w:tcPr>
            <w:tcW w:w="1662" w:type="dxa"/>
            <w:gridSpan w:val="3"/>
            <w:shd w:val="clear" w:color="auto" w:fill="auto"/>
          </w:tcPr>
          <w:p w:rsidR="000361C8" w:rsidRPr="0044679E" w:rsidRDefault="000361C8" w:rsidP="00AF7FA2">
            <w:pPr>
              <w:suppressAutoHyphens/>
              <w:spacing w:before="0" w:line="230" w:lineRule="exact"/>
              <w:ind w:right="-5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Белорусская торгово-промышленная палата</w:t>
            </w:r>
          </w:p>
        </w:tc>
        <w:tc>
          <w:tcPr>
            <w:tcW w:w="5921" w:type="dxa"/>
            <w:shd w:val="clear" w:color="auto" w:fill="auto"/>
          </w:tcPr>
          <w:p w:rsidR="000361C8" w:rsidRPr="0044679E" w:rsidRDefault="000361C8" w:rsidP="00AF7FA2">
            <w:pPr>
              <w:suppressAutoHyphens/>
              <w:spacing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</w:p>
        </w:tc>
      </w:tr>
      <w:tr w:rsidR="000361C8" w:rsidRPr="0044679E" w:rsidTr="00907C31">
        <w:tc>
          <w:tcPr>
            <w:tcW w:w="14884" w:type="dxa"/>
            <w:gridSpan w:val="6"/>
            <w:shd w:val="clear" w:color="auto" w:fill="auto"/>
          </w:tcPr>
          <w:p w:rsidR="000361C8" w:rsidRPr="0044679E" w:rsidRDefault="000361C8" w:rsidP="000361C8">
            <w:pPr>
              <w:suppressAutoHyphens/>
              <w:spacing w:line="230" w:lineRule="exact"/>
              <w:ind w:right="-57"/>
              <w:rPr>
                <w:spacing w:val="-4"/>
                <w:sz w:val="24"/>
                <w:szCs w:val="24"/>
              </w:rPr>
            </w:pPr>
            <w:r w:rsidRPr="00C71604">
              <w:rPr>
                <w:b/>
                <w:spacing w:val="-4"/>
                <w:sz w:val="24"/>
                <w:szCs w:val="24"/>
              </w:rPr>
              <w:t>Республика Казахстан</w:t>
            </w:r>
          </w:p>
        </w:tc>
      </w:tr>
      <w:tr w:rsidR="00875051" w:rsidRPr="0044679E" w:rsidTr="000361C8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75051" w:rsidRPr="0044679E" w:rsidRDefault="00875051" w:rsidP="00875051">
            <w:pPr>
              <w:suppressAutoHyphens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4679E">
              <w:rPr>
                <w:sz w:val="24"/>
                <w:szCs w:val="24"/>
              </w:rPr>
              <w:t>.</w:t>
            </w:r>
          </w:p>
        </w:tc>
        <w:tc>
          <w:tcPr>
            <w:tcW w:w="6734" w:type="dxa"/>
            <w:tcBorders>
              <w:top w:val="single" w:sz="4" w:space="0" w:color="auto"/>
            </w:tcBorders>
            <w:shd w:val="clear" w:color="auto" w:fill="auto"/>
          </w:tcPr>
          <w:p w:rsidR="00875051" w:rsidRPr="0044679E" w:rsidRDefault="00875051" w:rsidP="00875051">
            <w:pPr>
              <w:suppressAutoHyphens/>
              <w:spacing w:before="0"/>
              <w:ind w:right="-57"/>
              <w:jc w:val="left"/>
              <w:rPr>
                <w:rStyle w:val="212pt"/>
                <w:rFonts w:eastAsia="Calibri"/>
                <w:b w:val="0"/>
                <w:spacing w:val="-4"/>
              </w:rPr>
            </w:pPr>
            <w:r w:rsidRPr="0044679E">
              <w:rPr>
                <w:rStyle w:val="212pt"/>
                <w:rFonts w:eastAsia="Calibri"/>
                <w:b w:val="0"/>
                <w:spacing w:val="-4"/>
              </w:rPr>
              <w:t>Запреты на экспорт.</w:t>
            </w:r>
          </w:p>
          <w:p w:rsidR="00875051" w:rsidRPr="0044679E" w:rsidRDefault="00875051" w:rsidP="00875051">
            <w:pPr>
              <w:suppressAutoHyphens/>
              <w:spacing w:before="0"/>
              <w:ind w:right="-57"/>
              <w:jc w:val="left"/>
              <w:rPr>
                <w:rStyle w:val="212pt"/>
                <w:rFonts w:eastAsia="Calibri"/>
                <w:b w:val="0"/>
                <w:spacing w:val="-4"/>
              </w:rPr>
            </w:pPr>
            <w:r w:rsidRPr="0044679E">
              <w:rPr>
                <w:rStyle w:val="212pt"/>
                <w:rFonts w:eastAsia="Calibri"/>
                <w:b w:val="0"/>
                <w:spacing w:val="-4"/>
              </w:rPr>
              <w:t>Лом черных металлов.</w:t>
            </w:r>
          </w:p>
          <w:p w:rsidR="00875051" w:rsidRPr="0044679E" w:rsidRDefault="00875051" w:rsidP="00875051">
            <w:pPr>
              <w:suppressAutoHyphens/>
              <w:spacing w:before="0"/>
              <w:ind w:right="-57"/>
              <w:jc w:val="left"/>
              <w:rPr>
                <w:rStyle w:val="212pt"/>
                <w:rFonts w:eastAsia="Calibri"/>
                <w:b w:val="0"/>
                <w:spacing w:val="-4"/>
              </w:rPr>
            </w:pPr>
            <w:r w:rsidRPr="0044679E">
              <w:rPr>
                <w:spacing w:val="-4"/>
                <w:sz w:val="24"/>
                <w:szCs w:val="24"/>
              </w:rPr>
              <w:t>На неопределенный период ограничен прием к перевозке вагонов с ломом черных металлов, отправляемых на экспорт, в том числе следующих на территорию Российской Федерации. Квоты на экспорт устанавливаются Министерством индустрии и инфраструктурного развития Республики Казахстан</w:t>
            </w:r>
          </w:p>
        </w:tc>
        <w:tc>
          <w:tcPr>
            <w:tcW w:w="166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75051" w:rsidRPr="0044679E" w:rsidRDefault="00875051" w:rsidP="00875051">
            <w:pPr>
              <w:suppressAutoHyphens/>
              <w:spacing w:before="0"/>
              <w:ind w:right="-57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Российская Федерация</w:t>
            </w:r>
          </w:p>
        </w:tc>
        <w:tc>
          <w:tcPr>
            <w:tcW w:w="5921" w:type="dxa"/>
            <w:tcBorders>
              <w:top w:val="single" w:sz="4" w:space="0" w:color="auto"/>
            </w:tcBorders>
            <w:shd w:val="clear" w:color="auto" w:fill="auto"/>
          </w:tcPr>
          <w:p w:rsidR="00875051" w:rsidRPr="0044679E" w:rsidRDefault="00875051" w:rsidP="00875051">
            <w:pPr>
              <w:suppressAutoHyphens/>
              <w:spacing w:before="0"/>
              <w:ind w:right="-57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C71604" w:rsidRPr="0044679E" w:rsidTr="000361C8">
        <w:tc>
          <w:tcPr>
            <w:tcW w:w="14884" w:type="dxa"/>
            <w:gridSpan w:val="6"/>
            <w:shd w:val="clear" w:color="auto" w:fill="auto"/>
          </w:tcPr>
          <w:p w:rsidR="00C71604" w:rsidRPr="00C71604" w:rsidRDefault="00C71604" w:rsidP="00C71604">
            <w:pPr>
              <w:suppressAutoHyphens/>
              <w:spacing w:before="0" w:line="234" w:lineRule="exact"/>
              <w:ind w:right="-57"/>
              <w:rPr>
                <w:b/>
                <w:spacing w:val="-4"/>
                <w:sz w:val="24"/>
                <w:szCs w:val="24"/>
              </w:rPr>
            </w:pPr>
            <w:r w:rsidRPr="00C71604">
              <w:rPr>
                <w:b/>
                <w:sz w:val="24"/>
                <w:szCs w:val="24"/>
              </w:rPr>
              <w:t>Российская Федерация</w:t>
            </w:r>
          </w:p>
        </w:tc>
      </w:tr>
      <w:tr w:rsidR="00C71604" w:rsidRPr="0044679E" w:rsidTr="000361C8">
        <w:tc>
          <w:tcPr>
            <w:tcW w:w="567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4" w:lineRule="exact"/>
              <w:rPr>
                <w:sz w:val="24"/>
                <w:szCs w:val="24"/>
              </w:rPr>
            </w:pPr>
            <w:r w:rsidRPr="0044679E">
              <w:rPr>
                <w:sz w:val="24"/>
                <w:szCs w:val="24"/>
              </w:rPr>
              <w:t>1.</w:t>
            </w:r>
          </w:p>
        </w:tc>
        <w:tc>
          <w:tcPr>
            <w:tcW w:w="6734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4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При экспорте местной продукции в Россию возникают проблемы при взаимном признании сертификатов происхождения товаров.</w:t>
            </w:r>
            <w:r w:rsidRPr="0044679E">
              <w:rPr>
                <w:strike/>
                <w:spacing w:val="-4"/>
                <w:sz w:val="24"/>
                <w:szCs w:val="24"/>
              </w:rPr>
              <w:t xml:space="preserve"> </w:t>
            </w:r>
            <w:r w:rsidRPr="0044679E">
              <w:rPr>
                <w:spacing w:val="-4"/>
                <w:sz w:val="24"/>
                <w:szCs w:val="24"/>
              </w:rPr>
              <w:t>Помимо этого, отсутствует таможенный пост для вывоза подакцизных товаров. Так, в некоторых случаях в ходе экспортной операции органы таможенного контроля Российской Федерации ставят под сомнение подлинность сертификата происхождения, выданного Азербайджаном, и привлекают данный документ к дополнительной экспертизе. Ввиду того, что данные проблемы приводят к потере времени, у отправителя, транспортной компании и получателя возникают законные претензии. Эти случаи приводят к дополнительным расходам (штрафам) и несвоевременной доставке товара к месту назначения</w:t>
            </w:r>
          </w:p>
          <w:p w:rsidR="00C71604" w:rsidRPr="0044679E" w:rsidRDefault="00C71604" w:rsidP="00C71604">
            <w:pPr>
              <w:suppressAutoHyphens/>
              <w:spacing w:before="0" w:line="234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1662" w:type="dxa"/>
            <w:gridSpan w:val="3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4" w:lineRule="exact"/>
              <w:ind w:right="-57"/>
              <w:rPr>
                <w:spacing w:val="-4"/>
                <w:sz w:val="24"/>
                <w:szCs w:val="24"/>
              </w:rPr>
            </w:pPr>
            <w:proofErr w:type="spellStart"/>
            <w:proofErr w:type="gramStart"/>
            <w:r w:rsidRPr="0044679E">
              <w:rPr>
                <w:spacing w:val="-4"/>
                <w:sz w:val="24"/>
                <w:szCs w:val="24"/>
              </w:rPr>
              <w:t>Азербайджанс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>-кая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 Республика</w:t>
            </w:r>
          </w:p>
        </w:tc>
        <w:tc>
          <w:tcPr>
            <w:tcW w:w="5921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4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Российская сторона сообщает следующее.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Пунктом 1 статьи 314 Таможенного кодекса ЕАЭС при проведении таможенного контроля происхождения товаров проверяются документы о происхождении товаров, сведения о происхождении товаров, заявленные в таможенной декларации и (или) содержащиеся в представленных таможенным органам документах, в том числе достоверность сведений, содержащихся в документах о происхождении товаров, а также подлинность сертификатов о происхождении товаров, правильность их оформления и (или) заполнения.</w:t>
            </w:r>
            <w:proofErr w:type="gramEnd"/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В соответствии с пунктом 2 статьи 314 Таможенного кодекса ЕАЭС таможенный орган вправе направлять </w:t>
            </w: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lastRenderedPageBreak/>
              <w:t>запрос (запросы) в государственный орган или уполномоченную организацию, выдавшую и (или) уполномоченную проверять сертификат о происхождении товара, в целях проведения проверки достоверности сведений, содержащихся в сертификате о происхождении товара, а также подлинности сертификата о происхождении товара и (или) получения дополнительных документов и (или) сведений в соответствии</w:t>
            </w:r>
            <w:proofErr w:type="gramEnd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 с правилами определения происхождения ввозимых товаров. 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Во взаимной торговле между Российской Федерацией и Азербайджанской Республикой в целях предоставления режима свободной торговли определение и подтверждение происхождения товаров осуществляются в соответствии с Правилами определения происхождения товаров (далее – Правила), являющимися неотъемлемой частью Соглашения о Правилах определения страны происхождения товаров в Содружестве Независимых Государств от 20 ноября 2009 года (далее – Соглашение). </w:t>
            </w:r>
            <w:proofErr w:type="gramEnd"/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Согласно пункту 6.1 Правил для подтверждения страны происхождения товара в конкретном государстве – участнике Соглашения в целях предоставления режима свободной торговли необходимо предоставление таможенным органам страны ввоза оригинала сертификата формы СТ-1 (бланки сертификата и дополнительного листа к нему представлены в приложениях 2 и 3 соответственно, являющихся неотъемлемой частью Правил) или декларации о происхождении товара. </w:t>
            </w:r>
            <w:proofErr w:type="gramEnd"/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Абзацем первым раздела 9-1 Правил установлено, что в случае возникновения сомнений относительно подлинности документа о происхождении товара или достоверности содержащихся в нем сведений, а также выполнения критерия определения страны происхождения товаров в соответствии  с Правилами таможенный орган государства ввоза товара может направить  в уполномоченный или проверяющий (верифицирующий) орган страны вывоза запрос с мотивированной просьбой сообщить дополнительные либо уточняющие сведения, включая</w:t>
            </w:r>
            <w:proofErr w:type="gramEnd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 запросы, связанные с простыми выборочными проверками. 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lastRenderedPageBreak/>
              <w:t xml:space="preserve">Кроме того, в соответствии с положениями Таможенного кодекса ЕАЭС таможенный орган вправе назначать таможенную экспертизу, в том числе в отношении представленных в таможенные органы товаросопроводительных документов. 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Так, согласно пункту 1 статьи 189 Таможенного кодекса ЕАЭС таможенная экспертиза назначается таможенным органом в случае, если для разъяснения вопросов, возникающих при совершении таможенными органами таможенных операций и (или) проведении таможенного контроля, требуются специальные и (или) научные знания.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Таможенная экспертиза назначается в отношении товаров, таможенных, транспортных (перевозочных), коммерческих и иных документов, а также средств идентификации таких товаров и документов в соответствии с пунктом 3 статьи 389 Таможенного кодекса ЕАЭС. 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Cs w:val="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Учитывая изложенное, осуществление таможенного контроля в отношении товаров, ввозимых в Российскую Федерацию из Азербайджанской Республики, в том числе проверка сертификатов о происхождении товаров, а также направление их на верификацию или назначение таможенной экспертизы</w:t>
            </w:r>
            <w:r w:rsidRPr="0044679E">
              <w:rPr>
                <w:b w:val="0"/>
                <w:bCs w:val="0"/>
                <w:iCs w:val="0"/>
                <w:spacing w:val="-4"/>
                <w:sz w:val="24"/>
                <w:szCs w:val="24"/>
                <w:lang w:eastAsia="ru-RU"/>
              </w:rPr>
              <w:t xml:space="preserve">, не являются барьером во взаимной торговле и осуществляются в соответствии с положениями международных договоров и актов, составляющих право ЕАЭС, и законодательством Российской Федерации о таможенном регулировании. </w:t>
            </w:r>
            <w:proofErr w:type="gramEnd"/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Относительно отсутствия таможенного поста для вывоза подакцизных товаров отмечаем, что постановлением Правительства Российской Федерации от 9 декабря 2003 года </w:t>
            </w: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br/>
              <w:t xml:space="preserve">№ 743 для ввоза алкогольной продукции из Азербайджана определен железнодорожный пункт пропуска Дербент. Однако азербайджанская сторона считает, что ввоз алкогольной продукции через указанный пункт пропуска экономически невыгоден и просит установить возможность ввоза такой продукции через автомобильный пункт пропуска. 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В настоящее время единственным автомобильным пунктом пропуска, связывающим Россию и Азербайджан </w:t>
            </w: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lastRenderedPageBreak/>
              <w:t xml:space="preserve">в грузовом автомобильном сообщении, является международный автомобильный пункт пропуска (МАПП) </w:t>
            </w:r>
            <w:proofErr w:type="spell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Яраг-Казмаляр</w:t>
            </w:r>
            <w:proofErr w:type="spellEnd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Фактическая пропускная способность МАПП </w:t>
            </w:r>
            <w:proofErr w:type="spell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Яраг-Казмаляр</w:t>
            </w:r>
            <w:proofErr w:type="spellEnd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 по грузовому направлению в настоящее время превышает проектную.</w:t>
            </w:r>
            <w:proofErr w:type="gramEnd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 Дополнительная нагрузка на данный пункт пропуска, связанная с перемещением подакцизных товаров, серьезно усложнит ввоз иных товаров. </w:t>
            </w:r>
          </w:p>
          <w:p w:rsidR="00C71604" w:rsidRPr="0044679E" w:rsidRDefault="00C71604" w:rsidP="00C71604">
            <w:pPr>
              <w:pStyle w:val="20"/>
              <w:widowControl/>
              <w:shd w:val="clear" w:color="auto" w:fill="auto"/>
              <w:tabs>
                <w:tab w:val="left" w:pos="945"/>
              </w:tabs>
              <w:suppressAutoHyphens/>
              <w:spacing w:after="0" w:line="234" w:lineRule="exact"/>
              <w:ind w:right="-57"/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</w:pPr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Для реализации предложения азербайджанской стороны необходима реконструкция указанного пункта пропуска. Учитывая данные обстоятельства, определение автомобильного пункта пропуска для перемещения алкогольной продукции, импортируемой из Азербайджана в Россию, целесообразно только после завершения реконструкции МАПП </w:t>
            </w:r>
            <w:proofErr w:type="spellStart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>Яраг-Казмаляр</w:t>
            </w:r>
            <w:proofErr w:type="spellEnd"/>
            <w:r w:rsidRPr="0044679E">
              <w:rPr>
                <w:b w:val="0"/>
                <w:bCs w:val="0"/>
                <w:i w:val="0"/>
                <w:iCs w:val="0"/>
                <w:spacing w:val="-4"/>
                <w:sz w:val="24"/>
                <w:szCs w:val="24"/>
                <w:lang w:eastAsia="ru-RU"/>
              </w:rPr>
              <w:t xml:space="preserve">. </w:t>
            </w:r>
          </w:p>
          <w:p w:rsidR="00C71604" w:rsidRPr="0044679E" w:rsidRDefault="00C71604" w:rsidP="00C71604">
            <w:pPr>
              <w:suppressAutoHyphens/>
              <w:spacing w:before="0" w:line="234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Предложение о перемещении через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подакцизной продукции учтено в Плане действий по развитию ключевых направлений российско-азербайджанского сотрудничества на период до 2024 года.</w:t>
            </w:r>
          </w:p>
          <w:p w:rsidR="00C71604" w:rsidRPr="0044679E" w:rsidRDefault="00C71604" w:rsidP="00C71604">
            <w:pPr>
              <w:suppressAutoHyphens/>
              <w:spacing w:before="0" w:line="234" w:lineRule="exact"/>
              <w:ind w:right="-57"/>
              <w:jc w:val="left"/>
              <w:rPr>
                <w:i/>
                <w:spacing w:val="-4"/>
                <w:sz w:val="24"/>
                <w:szCs w:val="24"/>
              </w:rPr>
            </w:pPr>
            <w:r w:rsidRPr="0044679E">
              <w:rPr>
                <w:i/>
                <w:spacing w:val="-4"/>
                <w:sz w:val="24"/>
                <w:szCs w:val="24"/>
              </w:rPr>
              <w:t>Постановлением Правительства Российской Федерации от 7 октября 2022 года №1783 международный автомобильный пункт пропуска «</w:t>
            </w:r>
            <w:proofErr w:type="spellStart"/>
            <w:r w:rsidRPr="0044679E">
              <w:rPr>
                <w:i/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i/>
                <w:spacing w:val="-4"/>
                <w:sz w:val="24"/>
                <w:szCs w:val="24"/>
              </w:rPr>
              <w:t xml:space="preserve">» включен в перечень пунктов пропуска через государственную границу Российской Федерации для прибытия в Российскую Федерацию этилового спирта, алкогольной продукции и табачных изделий, ввозимых автомобильным транспортом </w:t>
            </w:r>
          </w:p>
        </w:tc>
      </w:tr>
      <w:tr w:rsidR="00C71604" w:rsidRPr="0044679E" w:rsidTr="000361C8">
        <w:tc>
          <w:tcPr>
            <w:tcW w:w="567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/>
              <w:rPr>
                <w:sz w:val="24"/>
                <w:szCs w:val="24"/>
              </w:rPr>
            </w:pPr>
            <w:r w:rsidRPr="0044679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734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Адекватное увеличение пропускной способности пункта пропуска через таможенную границу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в обоих направлениях (пропускная способность до 500 грузовых транспортных средств) до пропускной способности таможенного поста Самур. Пропускная способность таможенного поста Самур составляет до 1 000 грузовых транспортных сре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дств в с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>утки (в обоих направлениях)</w:t>
            </w:r>
          </w:p>
        </w:tc>
        <w:tc>
          <w:tcPr>
            <w:tcW w:w="1662" w:type="dxa"/>
            <w:gridSpan w:val="3"/>
            <w:shd w:val="clear" w:color="auto" w:fill="auto"/>
          </w:tcPr>
          <w:p w:rsidR="00C71604" w:rsidRPr="0044679E" w:rsidRDefault="00C71604" w:rsidP="00C85FD1">
            <w:pPr>
              <w:suppressAutoHyphens/>
              <w:spacing w:before="0"/>
              <w:ind w:left="-113" w:right="-57"/>
              <w:rPr>
                <w:spacing w:val="-4"/>
                <w:sz w:val="24"/>
                <w:szCs w:val="24"/>
              </w:rPr>
            </w:pPr>
            <w:proofErr w:type="spellStart"/>
            <w:proofErr w:type="gramStart"/>
            <w:r w:rsidRPr="0044679E">
              <w:rPr>
                <w:spacing w:val="-4"/>
                <w:sz w:val="24"/>
                <w:szCs w:val="24"/>
              </w:rPr>
              <w:t>Азербайджанс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>-кая</w:t>
            </w:r>
            <w:proofErr w:type="gramEnd"/>
            <w:r w:rsidR="00C85FD1">
              <w:rPr>
                <w:spacing w:val="-4"/>
                <w:sz w:val="24"/>
                <w:szCs w:val="24"/>
              </w:rPr>
              <w:br/>
            </w:r>
            <w:r w:rsidRPr="0044679E">
              <w:rPr>
                <w:spacing w:val="-4"/>
                <w:sz w:val="24"/>
                <w:szCs w:val="24"/>
              </w:rPr>
              <w:t>Республика</w:t>
            </w:r>
          </w:p>
        </w:tc>
        <w:tc>
          <w:tcPr>
            <w:tcW w:w="5921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after="2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Российская Федерация информирует по пунктам 2 и 3. </w:t>
            </w:r>
            <w:r w:rsidRPr="0044679E">
              <w:rPr>
                <w:spacing w:val="-4"/>
                <w:sz w:val="24"/>
                <w:szCs w:val="24"/>
              </w:rPr>
              <w:br/>
              <w:t xml:space="preserve">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установлен на основании Соглашения между Правительством Российской  Федерации и Правительством Республики Азербайджан от 7 октября 1995 года.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Проектная пропускная способность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, установленная паспортом пункта пропуска, составляет 300 грузовых, 180 легковых транспортных средств и 20 автобусов в сутки, по физическим лицам не установлена. </w:t>
            </w:r>
          </w:p>
          <w:p w:rsidR="00C71604" w:rsidRPr="0044679E" w:rsidRDefault="00C71604" w:rsidP="00C71604">
            <w:pPr>
              <w:tabs>
                <w:tab w:val="center" w:pos="1136"/>
                <w:tab w:val="center" w:pos="2825"/>
                <w:tab w:val="center" w:pos="4601"/>
                <w:tab w:val="center" w:pos="5860"/>
                <w:tab w:val="center" w:pos="6735"/>
                <w:tab w:val="center" w:pos="7606"/>
                <w:tab w:val="right" w:pos="9926"/>
              </w:tabs>
              <w:suppressAutoHyphens/>
              <w:spacing w:before="0" w:after="2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</w:t>
            </w:r>
            <w:r w:rsidRPr="0044679E">
              <w:rPr>
                <w:spacing w:val="-4"/>
                <w:sz w:val="24"/>
                <w:szCs w:val="24"/>
              </w:rPr>
              <w:tab/>
              <w:t xml:space="preserve">является одним из самых загруженных автомобильных пунктов пропуска Российской Федерации. Имеется тенденция к ежегодному </w:t>
            </w:r>
            <w:r w:rsidRPr="0044679E">
              <w:rPr>
                <w:spacing w:val="-4"/>
                <w:sz w:val="24"/>
                <w:szCs w:val="24"/>
              </w:rPr>
              <w:lastRenderedPageBreak/>
              <w:t xml:space="preserve">росту указанных значений.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В настоящее время пропускная способность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по грузовому транспорту (300 единиц в сутки) не соответствует фактической загруженности пункта пропуска (превышение в 1,6 раза).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При этом среднесуточная нагрузка на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за 6 месяцев 2021 года составила 500 грузовых машин в сутки. 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В пиковые периоды нагрузка на пункт пропуска достигала 672 единиц.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Обустройство и оснащение пункта пропуска не соответствуют его фактической загруженности: </w:t>
            </w:r>
            <w:r w:rsidRPr="0044679E">
              <w:rPr>
                <w:spacing w:val="-4"/>
                <w:sz w:val="24"/>
                <w:szCs w:val="24"/>
              </w:rPr>
              <w:br/>
              <w:t>отсутствует достаточное количество линий контроля грузового транспорта в пограничной зоне;</w:t>
            </w:r>
            <w:r w:rsidRPr="0044679E">
              <w:rPr>
                <w:spacing w:val="-4"/>
                <w:sz w:val="24"/>
                <w:szCs w:val="24"/>
              </w:rPr>
              <w:br/>
              <w:t xml:space="preserve">отсутствуют обустроенные и оснащенные соответствующим образом места для проведения таможенного осмотра/досмотра товаров, требующих особых условий для хранения и транспортировки;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не обеспечено стабильное электропитание информационно-технических средств, в том числе инспекционно-досмотрового комплекса;</w:t>
            </w:r>
            <w:r w:rsidRPr="0044679E">
              <w:rPr>
                <w:spacing w:val="-4"/>
                <w:sz w:val="24"/>
                <w:szCs w:val="24"/>
              </w:rPr>
              <w:br/>
              <w:t xml:space="preserve">отсутствует навес площадки для функционирования мобильного инспекционно-досмотрового комплекса в соответствии с технической документацией;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требуется замена камер видеонаблюдения на цветные камеры с высоким разрешением.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В настоящее время Министерство транспорта Российской Федерации проводит реконструкцию пункта пропуска, по результатам которой пропускная способность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Яраг-Казмаляр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должна составить 1 400 автотранспортных сре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дств в с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утки, в том числе 730 легковых, 630 грузовых и 40 автобусов, физических лиц – 4 000 человек в сутки </w:t>
            </w:r>
          </w:p>
        </w:tc>
      </w:tr>
      <w:tr w:rsidR="00C71604" w:rsidRPr="0044679E" w:rsidTr="000361C8">
        <w:tc>
          <w:tcPr>
            <w:tcW w:w="567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/>
              <w:rPr>
                <w:sz w:val="24"/>
                <w:szCs w:val="24"/>
              </w:rPr>
            </w:pPr>
            <w:r w:rsidRPr="0044679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734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Предполагается, что после реконструкции таможенного поста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Ханоба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более 800 грузовых и 1 000 легковых транспортных средств, 40 автобусов и 5 000 физических лиц смогут ежедневно пересекать таможенную границу (в обоих направлениях). В связи с этим предлагается рассмотреть вопрос синхронизации и создания адекватных условий для пассажирских и грузовых перевозок, осуществляемых Российской Федерацией</w:t>
            </w:r>
          </w:p>
        </w:tc>
        <w:tc>
          <w:tcPr>
            <w:tcW w:w="1662" w:type="dxa"/>
            <w:gridSpan w:val="3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/>
              <w:ind w:left="-113" w:right="-57"/>
              <w:rPr>
                <w:spacing w:val="-4"/>
                <w:sz w:val="24"/>
                <w:szCs w:val="24"/>
              </w:rPr>
            </w:pPr>
            <w:proofErr w:type="spellStart"/>
            <w:r w:rsidRPr="0044679E">
              <w:rPr>
                <w:spacing w:val="-4"/>
                <w:sz w:val="24"/>
                <w:szCs w:val="24"/>
              </w:rPr>
              <w:t>Азербай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д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>-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br/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жанская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Республика</w:t>
            </w:r>
          </w:p>
        </w:tc>
        <w:tc>
          <w:tcPr>
            <w:tcW w:w="5921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установлен на основании Соглашения между Правительством Российской Федерации и Правительством Республики Азербайджан от 7 октября 1995 года, является многосторонним, грузопассажирским, постоянным, функционирующим в круглосуточном режиме.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Несмотря на 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то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 что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по своей классификации является грузопассажирским, </w:t>
            </w:r>
            <w:r w:rsidRPr="0044679E">
              <w:rPr>
                <w:spacing w:val="-4"/>
                <w:sz w:val="24"/>
                <w:szCs w:val="24"/>
              </w:rPr>
              <w:lastRenderedPageBreak/>
              <w:t xml:space="preserve">недостаточное обустройство пункта пропуска, а также автодороги,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обеспечива-ющей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выход к пограничному пункту пропуска, препятствуют вводу пункта пропуска в эксплуатацию в полном объеме.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Пешеходный сегмент не введен в эксплуатацию в связи с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незавершением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строительства пешеходного перехода до линии государственной границы и его технического оснащения.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Грузовое направление в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не функционирует по причине незавершенности строительства автодороги в объезд селения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до федеральной трассы «Кавказ». Необходимо строительство нового железнодорожного переезда на пересечении строящейся автодороги с железнодорожными путями.  </w:t>
            </w:r>
          </w:p>
          <w:p w:rsidR="00C71604" w:rsidRPr="0044679E" w:rsidRDefault="00C71604" w:rsidP="00C71604">
            <w:pPr>
              <w:suppressAutoHyphens/>
              <w:spacing w:before="0" w:line="235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Проектная пропускная способность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составляет: 200 транспортных сре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дств в с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утки, в том числе 50 грузовых, 140 легковых и 10 автобусов.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В рамках мер по недопущению распространения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коронавирусной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инфекции с 20 марта 2020 года перемещение пассажирских составов через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временно приостановлено.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До введения ограничений, связанных с недопущением распространения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коронавирусной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инфекции,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ежесуточно пересекали в среднем 240 легковых машин и 977 физических лиц.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В настоящее время азербайджанской стороной осуществляется реконструкция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Ханоба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, после завершения которой </w:t>
            </w:r>
          </w:p>
          <w:p w:rsidR="00C71604" w:rsidRPr="0044679E" w:rsidRDefault="00C71604" w:rsidP="00C71604">
            <w:pPr>
              <w:suppressAutoHyphens/>
              <w:spacing w:before="0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его пропускная способность составит 550 транспортных сре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дств в с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утки, в общей сложности будет возможен пропуск 1 100 грузовых транспортных средств по обоим направлениям. При этом пропускная способность сопредельного МАПП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Тагиркент-Казмаляр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>, находящегося на территории России, составляет всего 50 единиц грузовых транспортных сре</w:t>
            </w:r>
            <w:proofErr w:type="gramStart"/>
            <w:r w:rsidRPr="0044679E">
              <w:rPr>
                <w:spacing w:val="-4"/>
                <w:sz w:val="24"/>
                <w:szCs w:val="24"/>
              </w:rPr>
              <w:t>дств в с</w:t>
            </w:r>
            <w:proofErr w:type="gramEnd"/>
            <w:r w:rsidRPr="0044679E">
              <w:rPr>
                <w:spacing w:val="-4"/>
                <w:sz w:val="24"/>
                <w:szCs w:val="24"/>
              </w:rPr>
              <w:t>утки, что в 10 раз ниже проектной пропускной способности МАПП</w:t>
            </w:r>
            <w:r w:rsidRPr="0044679E">
              <w:rPr>
                <w:bCs/>
                <w:iCs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679E">
              <w:rPr>
                <w:bCs/>
                <w:iCs/>
                <w:spacing w:val="-4"/>
                <w:sz w:val="24"/>
                <w:szCs w:val="24"/>
                <w:lang w:eastAsia="en-US"/>
              </w:rPr>
              <w:t>Ханоба</w:t>
            </w:r>
            <w:proofErr w:type="spellEnd"/>
          </w:p>
        </w:tc>
      </w:tr>
      <w:tr w:rsidR="00C71604" w:rsidRPr="0044679E" w:rsidTr="000361C8">
        <w:tc>
          <w:tcPr>
            <w:tcW w:w="567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0" w:lineRule="exact"/>
              <w:rPr>
                <w:sz w:val="24"/>
                <w:szCs w:val="24"/>
              </w:rPr>
            </w:pPr>
            <w:r w:rsidRPr="0044679E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6734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0" w:lineRule="exact"/>
              <w:ind w:right="-57"/>
              <w:jc w:val="left"/>
              <w:rPr>
                <w:strike/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Ежегодно, особенно в сезон овощей и фруктов, при транспортировке сельхозпродукции из Азербайджанской </w:t>
            </w:r>
            <w:r w:rsidRPr="0044679E">
              <w:rPr>
                <w:spacing w:val="-4"/>
                <w:sz w:val="24"/>
                <w:szCs w:val="24"/>
              </w:rPr>
              <w:lastRenderedPageBreak/>
              <w:t>Республики в Российскую Федерацию на таможенном посту в Дагестане возникают заторы, которые приводят к задержке грузовиков в обоих направлениях и порче сезонной сельхозпродукции. В связи с истечением срока пребывания в России по не зависящим от грузоперевозчиков причинам российская сторона налагает штрафы и пени. Все это вызывает многочисленные жалобы со стороны азербайджанских грузоперевозчиков. Предлагается принять необходимые меры, чтобы окончательно устранить эту проблему и предотвратить ее ежегодное повторение</w:t>
            </w:r>
          </w:p>
        </w:tc>
        <w:tc>
          <w:tcPr>
            <w:tcW w:w="1662" w:type="dxa"/>
            <w:gridSpan w:val="3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0" w:lineRule="exact"/>
              <w:ind w:left="-113" w:right="-57"/>
              <w:rPr>
                <w:spacing w:val="-4"/>
                <w:sz w:val="24"/>
                <w:szCs w:val="24"/>
              </w:rPr>
            </w:pPr>
            <w:proofErr w:type="spellStart"/>
            <w:proofErr w:type="gramStart"/>
            <w:r w:rsidRPr="0044679E">
              <w:rPr>
                <w:spacing w:val="-4"/>
                <w:sz w:val="24"/>
                <w:szCs w:val="24"/>
              </w:rPr>
              <w:lastRenderedPageBreak/>
              <w:t>Азербайд-жанская</w:t>
            </w:r>
            <w:proofErr w:type="spellEnd"/>
            <w:proofErr w:type="gramEnd"/>
            <w:r w:rsidRPr="0044679E">
              <w:rPr>
                <w:spacing w:val="-4"/>
                <w:sz w:val="24"/>
                <w:szCs w:val="24"/>
              </w:rPr>
              <w:t xml:space="preserve"> </w:t>
            </w:r>
            <w:r w:rsidRPr="0044679E">
              <w:rPr>
                <w:spacing w:val="-4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5921" w:type="dxa"/>
            <w:shd w:val="clear" w:color="auto" w:fill="auto"/>
          </w:tcPr>
          <w:p w:rsidR="00C71604" w:rsidRPr="0044679E" w:rsidRDefault="00C71604" w:rsidP="00C71604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proofErr w:type="spellStart"/>
            <w:r w:rsidRPr="0044679E">
              <w:rPr>
                <w:spacing w:val="-4"/>
                <w:sz w:val="24"/>
                <w:szCs w:val="24"/>
              </w:rPr>
              <w:lastRenderedPageBreak/>
              <w:t>Россельхознадзор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информирует.</w:t>
            </w:r>
          </w:p>
          <w:p w:rsidR="00C71604" w:rsidRPr="0044679E" w:rsidRDefault="00C71604" w:rsidP="00C71604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По данному вопросу в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Россельхознадзор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не поступало </w:t>
            </w:r>
            <w:r w:rsidRPr="0044679E">
              <w:rPr>
                <w:spacing w:val="-4"/>
                <w:sz w:val="24"/>
                <w:szCs w:val="24"/>
              </w:rPr>
              <w:lastRenderedPageBreak/>
              <w:t>обращений ни от уполномоченного в области карантина растений органа Азербайджанской Республики, ни от участников внешнеэкономической деятельности.</w:t>
            </w:r>
          </w:p>
          <w:p w:rsidR="00C71604" w:rsidRPr="0044679E" w:rsidRDefault="00C71604" w:rsidP="00C71604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Вместе с тем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Россельхознадзором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с марта 2022 года приняты меры по ускорению процедур ввоза и выпуска в свободное обращение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подкарантинной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продукции. Выпуск ее в свободное обращение осуществляется по фактическому состоянию (до результатов карантинной фитосанитарной экспертизы). Пробы отбираются на складах временного хранения, продукция следует на склад грузополучателя, не дожидаясь результатов экспертизы. В случае выявления карантинных объектов меры принимаются к зарубежным производителям или экспортерам.</w:t>
            </w:r>
          </w:p>
          <w:p w:rsidR="00C71604" w:rsidRPr="0044679E" w:rsidRDefault="00C71604" w:rsidP="00C71604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 xml:space="preserve">С целью недопущения срыва поставок продукции растительного происхождения, учитывая логистические трудности при ввозе подконтрольных товаров, упрощен порядок их оформления – оформление подконтрольных </w:t>
            </w:r>
            <w:proofErr w:type="spellStart"/>
            <w:r w:rsidRPr="0044679E">
              <w:rPr>
                <w:spacing w:val="-4"/>
                <w:sz w:val="24"/>
                <w:szCs w:val="24"/>
              </w:rPr>
              <w:t>Россельхознадзору</w:t>
            </w:r>
            <w:proofErr w:type="spellEnd"/>
            <w:r w:rsidRPr="0044679E">
              <w:rPr>
                <w:spacing w:val="-4"/>
                <w:sz w:val="24"/>
                <w:szCs w:val="24"/>
              </w:rPr>
              <w:t xml:space="preserve"> товаров осуществляется по копиям фитосанитарных сопроводительных документов с обязательной гарантией от участников внешнеэкономической деятельности о предоставлении их оригиналов.</w:t>
            </w:r>
          </w:p>
          <w:p w:rsidR="00C71604" w:rsidRPr="0044679E" w:rsidRDefault="00C71604" w:rsidP="00C71604">
            <w:pPr>
              <w:suppressAutoHyphens/>
              <w:spacing w:before="0" w:line="230" w:lineRule="exact"/>
              <w:ind w:right="-57"/>
              <w:jc w:val="left"/>
              <w:rPr>
                <w:spacing w:val="-4"/>
                <w:sz w:val="24"/>
                <w:szCs w:val="24"/>
              </w:rPr>
            </w:pPr>
            <w:r w:rsidRPr="0044679E">
              <w:rPr>
                <w:spacing w:val="-4"/>
                <w:sz w:val="24"/>
                <w:szCs w:val="24"/>
              </w:rPr>
              <w:t>Все необходимые меры для подтверждения подлинности указанных документов принимаются совместно с компетентными службами стран-экспортеров</w:t>
            </w:r>
          </w:p>
        </w:tc>
      </w:tr>
    </w:tbl>
    <w:p w:rsidR="003D3A81" w:rsidRDefault="003D3A81"/>
    <w:sectPr w:rsidR="003D3A81" w:rsidSect="000E47DA">
      <w:headerReference w:type="default" r:id="rId7"/>
      <w:pgSz w:w="16838" w:h="11906" w:orient="landscape"/>
      <w:pgMar w:top="1276" w:right="1134" w:bottom="850" w:left="1134" w:header="567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FD9" w:rsidRDefault="00491FD9" w:rsidP="00097099">
      <w:pPr>
        <w:spacing w:before="0" w:line="240" w:lineRule="auto"/>
      </w:pPr>
      <w:r>
        <w:separator/>
      </w:r>
    </w:p>
  </w:endnote>
  <w:endnote w:type="continuationSeparator" w:id="0">
    <w:p w:rsidR="00491FD9" w:rsidRDefault="00491FD9" w:rsidP="0009709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FD9" w:rsidRDefault="00491FD9" w:rsidP="00097099">
      <w:pPr>
        <w:spacing w:before="0" w:line="240" w:lineRule="auto"/>
      </w:pPr>
      <w:r>
        <w:separator/>
      </w:r>
    </w:p>
  </w:footnote>
  <w:footnote w:type="continuationSeparator" w:id="0">
    <w:p w:rsidR="00491FD9" w:rsidRDefault="00491FD9" w:rsidP="0009709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501842"/>
      <w:docPartObj>
        <w:docPartGallery w:val="Page Numbers (Top of Page)"/>
        <w:docPartUnique/>
      </w:docPartObj>
    </w:sdtPr>
    <w:sdtEndPr/>
    <w:sdtContent>
      <w:p w:rsidR="000E47DA" w:rsidRDefault="000E47D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9B4">
          <w:rPr>
            <w:noProof/>
          </w:rPr>
          <w:t>8</w:t>
        </w:r>
        <w:r>
          <w:fldChar w:fldCharType="end"/>
        </w:r>
      </w:p>
    </w:sdtContent>
  </w:sdt>
  <w:p w:rsidR="00097099" w:rsidRDefault="000970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81"/>
    <w:rsid w:val="000361C8"/>
    <w:rsid w:val="00097099"/>
    <w:rsid w:val="000C176E"/>
    <w:rsid w:val="000E47DA"/>
    <w:rsid w:val="001801FB"/>
    <w:rsid w:val="001F2734"/>
    <w:rsid w:val="00396524"/>
    <w:rsid w:val="003D3A81"/>
    <w:rsid w:val="00491FD9"/>
    <w:rsid w:val="004C6D5E"/>
    <w:rsid w:val="00614291"/>
    <w:rsid w:val="00717128"/>
    <w:rsid w:val="007339B4"/>
    <w:rsid w:val="00734498"/>
    <w:rsid w:val="0084329B"/>
    <w:rsid w:val="00875051"/>
    <w:rsid w:val="008C3901"/>
    <w:rsid w:val="0099387F"/>
    <w:rsid w:val="009B6BB4"/>
    <w:rsid w:val="00C71604"/>
    <w:rsid w:val="00C77A74"/>
    <w:rsid w:val="00C81292"/>
    <w:rsid w:val="00C85FD1"/>
    <w:rsid w:val="00E4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81"/>
    <w:pPr>
      <w:spacing w:before="60"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D3A8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3A81"/>
    <w:pPr>
      <w:widowControl w:val="0"/>
      <w:shd w:val="clear" w:color="auto" w:fill="FFFFFF"/>
      <w:spacing w:before="0" w:after="240" w:line="0" w:lineRule="atLeast"/>
      <w:jc w:val="left"/>
    </w:pPr>
    <w:rPr>
      <w:b/>
      <w:bCs/>
      <w:i/>
      <w:iCs/>
      <w:sz w:val="22"/>
      <w:szCs w:val="22"/>
      <w:lang w:eastAsia="en-US"/>
    </w:rPr>
  </w:style>
  <w:style w:type="character" w:customStyle="1" w:styleId="212pt">
    <w:name w:val="Основной текст (2) + 12 pt;Полужирный"/>
    <w:rsid w:val="00C716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097099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97099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autoRedefine/>
    <w:rsid w:val="0099387F"/>
    <w:pPr>
      <w:tabs>
        <w:tab w:val="right" w:leader="dot" w:pos="6577"/>
      </w:tabs>
      <w:spacing w:after="60"/>
      <w:jc w:val="left"/>
    </w:pPr>
    <w:rPr>
      <w:rFonts w:eastAsia="SimSu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81"/>
    <w:pPr>
      <w:spacing w:before="60"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D3A8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3A81"/>
    <w:pPr>
      <w:widowControl w:val="0"/>
      <w:shd w:val="clear" w:color="auto" w:fill="FFFFFF"/>
      <w:spacing w:before="0" w:after="240" w:line="0" w:lineRule="atLeast"/>
      <w:jc w:val="left"/>
    </w:pPr>
    <w:rPr>
      <w:b/>
      <w:bCs/>
      <w:i/>
      <w:iCs/>
      <w:sz w:val="22"/>
      <w:szCs w:val="22"/>
      <w:lang w:eastAsia="en-US"/>
    </w:rPr>
  </w:style>
  <w:style w:type="character" w:customStyle="1" w:styleId="212pt">
    <w:name w:val="Основной текст (2) + 12 pt;Полужирный"/>
    <w:rsid w:val="00C716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097099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97099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нак Знак Знак Знак"/>
    <w:basedOn w:val="a"/>
    <w:autoRedefine/>
    <w:rsid w:val="0099387F"/>
    <w:pPr>
      <w:tabs>
        <w:tab w:val="right" w:leader="dot" w:pos="6577"/>
      </w:tabs>
      <w:spacing w:after="60"/>
      <w:jc w:val="left"/>
    </w:pPr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ИкСНГ</Company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Якимычева</dc:creator>
  <cp:lastModifiedBy>Зорова Арина Игоревна</cp:lastModifiedBy>
  <cp:revision>2</cp:revision>
  <cp:lastPrinted>2023-03-27T07:49:00Z</cp:lastPrinted>
  <dcterms:created xsi:type="dcterms:W3CDTF">2023-04-26T05:17:00Z</dcterms:created>
  <dcterms:modified xsi:type="dcterms:W3CDTF">2023-04-26T05:17:00Z</dcterms:modified>
</cp:coreProperties>
</file>